
<file path=[Content_Types].xml><?xml version="1.0" encoding="utf-8"?>
<Types xmlns="http://schemas.openxmlformats.org/package/2006/content-types">
  <Default Extension="xlsx" ContentType="application/vnd.openxmlformats-officedocument.spreadsheetml.shee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firstLine="1760" w:firstLineChars="550"/>
        <w:jc w:val="center"/>
        <w:rPr>
          <w:rFonts w:ascii="仿宋_GB2312" w:eastAsia="仿宋_GB2312"/>
          <w:sz w:val="32"/>
          <w:szCs w:val="32"/>
        </w:rPr>
      </w:pPr>
      <w:r>
        <w:rPr>
          <w:rFonts w:hint="eastAsia" w:ascii="仿宋_GB2312" w:eastAsia="仿宋_GB2312"/>
          <w:sz w:val="32"/>
          <w:szCs w:val="32"/>
        </w:rPr>
        <w:t>部门名称（公章）：深圳市大鹏新区卫生监督所</w:t>
      </w:r>
    </w:p>
    <w:p>
      <w:pPr>
        <w:spacing w:line="360" w:lineRule="auto"/>
        <w:ind w:firstLine="1760" w:firstLineChars="550"/>
        <w:jc w:val="left"/>
        <w:rPr>
          <w:rFonts w:ascii="仿宋_GB2312" w:eastAsia="仿宋_GB2312"/>
          <w:sz w:val="32"/>
          <w:szCs w:val="32"/>
        </w:rPr>
      </w:pPr>
      <w:r>
        <w:rPr>
          <w:rFonts w:hint="eastAsia" w:ascii="仿宋_GB2312" w:eastAsia="仿宋_GB2312"/>
          <w:sz w:val="32"/>
          <w:szCs w:val="32"/>
        </w:rPr>
        <w:t>填报人：张少玲</w:t>
      </w:r>
    </w:p>
    <w:p>
      <w:pPr>
        <w:spacing w:line="360" w:lineRule="auto"/>
        <w:ind w:firstLine="1760" w:firstLineChars="550"/>
        <w:jc w:val="left"/>
        <w:rPr>
          <w:rFonts w:ascii="仿宋_GB2312" w:eastAsia="仿宋_GB2312"/>
          <w:sz w:val="32"/>
          <w:szCs w:val="32"/>
        </w:rPr>
      </w:pPr>
      <w:r>
        <w:rPr>
          <w:rFonts w:hint="eastAsia" w:ascii="仿宋_GB2312" w:eastAsia="仿宋_GB2312"/>
          <w:sz w:val="32"/>
          <w:szCs w:val="32"/>
        </w:rPr>
        <w:t>联系电话：0755-84303809</w:t>
      </w:r>
    </w:p>
    <w:p>
      <w:pPr>
        <w:spacing w:line="360" w:lineRule="auto"/>
        <w:ind w:firstLine="1760" w:firstLineChars="550"/>
        <w:rPr>
          <w:rFonts w:ascii="仿宋_GB2312" w:eastAsia="仿宋_GB2312"/>
          <w:sz w:val="32"/>
          <w:szCs w:val="32"/>
        </w:rPr>
      </w:pPr>
    </w:p>
    <w:p>
      <w:pPr>
        <w:spacing w:line="360" w:lineRule="auto"/>
        <w:ind w:firstLine="1760" w:firstLineChars="550"/>
        <w:rPr>
          <w:rFonts w:ascii="仿宋_GB2312" w:eastAsia="仿宋_GB2312"/>
          <w:sz w:val="32"/>
          <w:szCs w:val="32"/>
        </w:rPr>
      </w:pPr>
    </w:p>
    <w:p>
      <w:pPr>
        <w:rPr>
          <w:rFonts w:ascii="宋体" w:hAnsi="宋体"/>
          <w:sz w:val="44"/>
          <w:szCs w:val="44"/>
        </w:rPr>
      </w:pPr>
    </w:p>
    <w:p>
      <w:pPr>
        <w:snapToGrid w:val="0"/>
        <w:spacing w:line="58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一、部门（单位）基本情况</w:t>
      </w:r>
    </w:p>
    <w:p>
      <w:pPr>
        <w:snapToGrid w:val="0"/>
        <w:spacing w:line="580" w:lineRule="exact"/>
        <w:ind w:firstLine="640" w:firstLineChars="200"/>
        <w:rPr>
          <w:rFonts w:hint="eastAsia" w:ascii="楷体_GB2312" w:hAnsi="微软雅黑" w:eastAsia="楷体_GB2312" w:cs="Calibri"/>
          <w:b w:val="0"/>
          <w:bCs/>
          <w:color w:val="000000"/>
          <w:sz w:val="32"/>
          <w:szCs w:val="32"/>
          <w:u w:val="none"/>
        </w:rPr>
      </w:pPr>
      <w:r>
        <w:rPr>
          <w:rFonts w:hint="eastAsia" w:ascii="楷体_GB2312" w:hAnsi="微软雅黑" w:eastAsia="楷体_GB2312" w:cs="Calibri"/>
          <w:b w:val="0"/>
          <w:bCs/>
          <w:color w:val="000000"/>
          <w:sz w:val="32"/>
          <w:szCs w:val="32"/>
          <w:u w:val="none"/>
        </w:rPr>
        <w:t>（一）部门主要职能</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法承担《中华人民共和国执业医师法》《中华人民共和国传染病防治法》《公共场所卫生管理条例》《深圳经济特区医疗条例》《消毒管理办法》等卫生法律法规和规章所赋予的卫生监督职责。涵盖公共场所卫生、学校卫生、传染病防治、医疗服务监督、饮用水卫生、职业健康和放射卫生等多个领域，主要职能包括：</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1.依照法律法规对公共场所、学校托幼机构、消毒产品经营使用单位、生活饮用水单位、医疗机构等行使预防性和经常性的卫生监督。</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2.受理公共场所、生活饮用水单位的卫生许可申请业务。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3.对监管对象执行卫生法律法规情况进行检查，对卫生行政处罚案件进行调查取证，提出处罚建议，执行处理决定。</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4.参与重大或突发公共卫生事件的调查处理。</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5.对重大活动开展卫生监督保障。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6.完成上级交办的其他工作任务。</w:t>
      </w:r>
    </w:p>
    <w:p>
      <w:pPr>
        <w:snapToGrid w:val="0"/>
        <w:spacing w:line="580" w:lineRule="exact"/>
        <w:ind w:firstLine="640" w:firstLineChars="200"/>
        <w:rPr>
          <w:rFonts w:ascii="仿宋_GB2312" w:hAnsi="仿宋_GB2312" w:eastAsia="仿宋_GB2312" w:cs="仿宋_GB2312"/>
          <w:sz w:val="32"/>
          <w:szCs w:val="32"/>
        </w:rPr>
      </w:pPr>
      <w:r>
        <w:rPr>
          <w:rFonts w:hint="eastAsia" w:ascii="楷体_GB2312" w:hAnsi="微软雅黑" w:eastAsia="楷体_GB2312" w:cs="Calibri"/>
          <w:b w:val="0"/>
          <w:bCs/>
          <w:color w:val="auto"/>
          <w:sz w:val="32"/>
          <w:szCs w:val="32"/>
          <w:u w:val="none"/>
        </w:rPr>
        <w:t>（二）年度总体工作和重点工作任务</w:t>
      </w:r>
    </w:p>
    <w:p>
      <w:pPr>
        <w:pStyle w:val="8"/>
        <w:widowControl/>
        <w:spacing w:before="0" w:beforeAutospacing="0" w:after="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2020年，在市卫生监督局、新区教育和卫生健康局的坚强领导下，大鹏新区卫生监督所将围绕市、新区中心工作，将深入贯彻落实习近平总书记出席经济特区建立40周年庆祝大会和视察广东、深圳重要讲话、重要指示精神，以“美丽大鹏”为工作目标，把监督工作做优、“行政执法全过程记录”工作做强，“</w:t>
      </w:r>
      <w:r>
        <w:rPr>
          <w:rFonts w:hint="default" w:ascii="仿宋_GB2312" w:hAnsi="仿宋_GB2312" w:eastAsia="仿宋_GB2312" w:cs="仿宋_GB2312"/>
          <w:sz w:val="32"/>
          <w:szCs w:val="32"/>
          <w:lang w:val="en"/>
        </w:rPr>
        <w:t>双随机、一公开</w:t>
      </w:r>
      <w:r>
        <w:rPr>
          <w:rFonts w:hint="eastAsia" w:ascii="仿宋_GB2312" w:hAnsi="仿宋_GB2312" w:eastAsia="仿宋_GB2312" w:cs="仿宋_GB2312"/>
          <w:sz w:val="32"/>
          <w:szCs w:val="32"/>
        </w:rPr>
        <w:t>”监督执法工作做实，积极推进</w:t>
      </w:r>
      <w:r>
        <w:rPr>
          <w:rFonts w:hint="eastAsia" w:ascii="仿宋_GB2312" w:hAnsi="仿宋_GB2312" w:eastAsia="仿宋_GB2312" w:cs="仿宋_GB2312"/>
          <w:sz w:val="32"/>
          <w:szCs w:val="32"/>
          <w:lang w:eastAsia="zh-CN"/>
        </w:rPr>
        <w:t>新区</w:t>
      </w:r>
      <w:r>
        <w:rPr>
          <w:rFonts w:hint="eastAsia" w:ascii="仿宋_GB2312" w:hAnsi="仿宋_GB2312" w:eastAsia="仿宋_GB2312" w:cs="仿宋_GB2312"/>
          <w:sz w:val="32"/>
          <w:szCs w:val="32"/>
        </w:rPr>
        <w:t>卫生监督“协管”和“网格化管理”工作的落实；继续抓好卫生监督体系建设、信息化建设和人员队伍的素质建设；进一步提高人员执法能力水平和各专业服务质量；树好导向，带好队伍，不忘初心</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牢记使命，扎实完成各项指标任务，集中优势力量实现个别专业或工作有新突破，确保大鹏卫生监督体系可持续健康发展。</w:t>
      </w:r>
    </w:p>
    <w:p>
      <w:pPr>
        <w:snapToGrid w:val="0"/>
        <w:spacing w:line="580" w:lineRule="exact"/>
        <w:ind w:firstLine="640" w:firstLineChars="200"/>
        <w:rPr>
          <w:rFonts w:ascii="仿宋_GB2312" w:hAnsi="仿宋_GB2312" w:eastAsia="仿宋_GB2312" w:cs="仿宋_GB2312"/>
          <w:sz w:val="32"/>
          <w:szCs w:val="32"/>
        </w:rPr>
      </w:pPr>
      <w:r>
        <w:rPr>
          <w:rFonts w:hint="eastAsia" w:ascii="楷体_GB2312" w:hAnsi="微软雅黑" w:eastAsia="楷体_GB2312" w:cs="Calibri"/>
          <w:b w:val="0"/>
          <w:bCs/>
          <w:color w:val="auto"/>
          <w:sz w:val="32"/>
          <w:szCs w:val="32"/>
          <w:u w:val="none"/>
        </w:rPr>
        <w:t>（三）2020年部门预算编制情况</w:t>
      </w:r>
    </w:p>
    <w:p>
      <w:pPr>
        <w:snapToGrid w:val="0"/>
        <w:spacing w:line="56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我所2020年预算编制符合新区管委会及新区发展和财政局关于预算编制的要求和规范，</w:t>
      </w:r>
      <w:r>
        <w:rPr>
          <w:rFonts w:hint="eastAsia" w:ascii="仿宋_GB2312" w:eastAsia="仿宋_GB2312"/>
          <w:sz w:val="32"/>
          <w:szCs w:val="32"/>
        </w:rPr>
        <w:t>紧密结合单位职能，关注重点工作和主要履职项目，严控日常公用经费，</w:t>
      </w:r>
      <w:r>
        <w:rPr>
          <w:rFonts w:hint="eastAsia" w:ascii="仿宋_GB2312" w:hAnsi="仿宋_GB2312" w:eastAsia="仿宋_GB2312" w:cs="仿宋_GB2312"/>
          <w:color w:val="000000"/>
          <w:sz w:val="32"/>
          <w:szCs w:val="32"/>
        </w:rPr>
        <w:t>严格按照合法真实原则、突出重点原则、讲求绩效原则、规划约束原则进行预算编制</w:t>
      </w:r>
      <w:r>
        <w:rPr>
          <w:rFonts w:hint="eastAsia" w:ascii="仿宋_GB2312" w:eastAsia="仿宋_GB2312"/>
          <w:sz w:val="32"/>
          <w:szCs w:val="32"/>
        </w:rPr>
        <w:t>。具体情况如下：</w:t>
      </w:r>
    </w:p>
    <w:p>
      <w:pPr>
        <w:snapToGrid w:val="0"/>
        <w:spacing w:line="58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2020年年初预算收入情况。2020年年初预算收入1,582.77万元，其中：财政预算拨款1,582.77万元，政府性基金预算财政拨款收入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napToGrid w:val="0"/>
        <w:spacing w:line="56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2020年年初预算支出情况。2020年年初预算总支出为1,582.77万元，按支出功能分类:社会保障和就业支出86.13万元，卫生健康支出1,301.87万元，住房保障支出194.77万元。按支出性质分类：基本支出917.51万元，项目支出665.26万元。</w:t>
      </w:r>
    </w:p>
    <w:p>
      <w:pPr>
        <w:snapToGrid w:val="0"/>
        <w:spacing w:line="580" w:lineRule="exact"/>
        <w:ind w:firstLine="640" w:firstLineChars="200"/>
        <w:rPr>
          <w:rFonts w:ascii="仿宋_GB2312" w:hAnsi="楷体_GB2312" w:eastAsia="仿宋_GB2312" w:cs="楷体_GB2312"/>
          <w:bCs/>
          <w:sz w:val="32"/>
          <w:szCs w:val="32"/>
        </w:rPr>
      </w:pPr>
      <w:r>
        <w:rPr>
          <w:rFonts w:hint="eastAsia" w:ascii="楷体_GB2312" w:hAnsi="微软雅黑" w:eastAsia="楷体_GB2312" w:cs="Calibri"/>
          <w:b w:val="0"/>
          <w:bCs/>
          <w:color w:val="auto"/>
          <w:sz w:val="32"/>
          <w:szCs w:val="32"/>
          <w:u w:val="none"/>
        </w:rPr>
        <w:t>（四）2020年部门预算执行情况</w:t>
      </w:r>
    </w:p>
    <w:p>
      <w:pPr>
        <w:snapToGrid w:val="0"/>
        <w:spacing w:line="580" w:lineRule="exact"/>
        <w:ind w:firstLine="640" w:firstLineChars="200"/>
        <w:rPr>
          <w:rFonts w:ascii="仿宋_GB2312" w:hAnsi="楷体_GB2312" w:eastAsia="仿宋_GB2312" w:cs="楷体_GB2312"/>
          <w:bCs/>
          <w:sz w:val="32"/>
          <w:szCs w:val="32"/>
        </w:rPr>
      </w:pPr>
      <w:r>
        <w:rPr>
          <w:rFonts w:hint="eastAsia" w:ascii="仿宋_GB2312" w:hAnsi="楷体_GB2312" w:eastAsia="仿宋_GB2312" w:cs="楷体_GB2312"/>
          <w:bCs/>
          <w:sz w:val="32"/>
          <w:szCs w:val="32"/>
        </w:rPr>
        <w:t>2020年，我所资金支出严格按照</w:t>
      </w:r>
      <w:r>
        <w:rPr>
          <w:rFonts w:hint="eastAsia" w:ascii="仿宋_GB2312" w:hAnsi="仿宋_GB2312" w:eastAsia="仿宋_GB2312" w:cs="仿宋_GB2312"/>
          <w:sz w:val="32"/>
          <w:szCs w:val="32"/>
        </w:rPr>
        <w:t>新区教育和卫生健康局</w:t>
      </w:r>
      <w:r>
        <w:rPr>
          <w:rFonts w:hint="eastAsia" w:ascii="仿宋_GB2312" w:hAnsi="楷体_GB2312" w:eastAsia="仿宋_GB2312" w:cs="楷体_GB2312"/>
          <w:bCs/>
          <w:sz w:val="32"/>
          <w:szCs w:val="32"/>
        </w:rPr>
        <w:t>要求及</w:t>
      </w:r>
      <w:r>
        <w:rPr>
          <w:rFonts w:hint="eastAsia" w:ascii="仿宋_GB2312" w:hAnsi="楷体_GB2312" w:eastAsia="仿宋_GB2312" w:cs="楷体_GB2312"/>
          <w:bCs/>
          <w:sz w:val="32"/>
          <w:szCs w:val="32"/>
          <w:highlight w:val="none"/>
        </w:rPr>
        <w:t>《大鹏新区卫生监督所财务</w:t>
      </w:r>
      <w:r>
        <w:rPr>
          <w:rFonts w:hint="eastAsia" w:ascii="仿宋_GB2312" w:hAnsi="楷体_GB2312" w:eastAsia="仿宋_GB2312" w:cs="楷体_GB2312"/>
          <w:bCs/>
          <w:sz w:val="32"/>
          <w:szCs w:val="32"/>
          <w:highlight w:val="none"/>
          <w:lang w:eastAsia="zh-CN"/>
        </w:rPr>
        <w:t>管理</w:t>
      </w:r>
      <w:r>
        <w:rPr>
          <w:rFonts w:hint="eastAsia" w:ascii="仿宋_GB2312" w:hAnsi="楷体_GB2312" w:eastAsia="仿宋_GB2312" w:cs="楷体_GB2312"/>
          <w:bCs/>
          <w:sz w:val="32"/>
          <w:szCs w:val="32"/>
          <w:highlight w:val="none"/>
        </w:rPr>
        <w:t>制度》</w:t>
      </w:r>
      <w:r>
        <w:rPr>
          <w:rFonts w:hint="eastAsia" w:ascii="仿宋_GB2312" w:hAnsi="楷体_GB2312" w:eastAsia="仿宋_GB2312" w:cs="楷体_GB2312"/>
          <w:bCs/>
          <w:sz w:val="32"/>
          <w:szCs w:val="32"/>
        </w:rPr>
        <w:t>执行，做到合法合规</w:t>
      </w: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rPr>
        <w:t>具体情况如下：</w:t>
      </w:r>
    </w:p>
    <w:p>
      <w:pPr>
        <w:snapToGrid w:val="0"/>
        <w:spacing w:line="580" w:lineRule="exact"/>
        <w:ind w:firstLine="640" w:firstLineChars="200"/>
        <w:outlineLvl w:val="2"/>
        <w:rPr>
          <w:rFonts w:eastAsia="仿宋_GB2312" w:cs="楷体_GB2312"/>
          <w:bCs/>
          <w:sz w:val="32"/>
          <w:szCs w:val="32"/>
        </w:rPr>
      </w:pPr>
      <w:r>
        <w:rPr>
          <w:rFonts w:eastAsia="仿宋_GB2312" w:cs="楷体_GB2312"/>
          <w:bCs/>
          <w:sz w:val="32"/>
          <w:szCs w:val="32"/>
        </w:rPr>
        <w:t>1.</w:t>
      </w:r>
      <w:r>
        <w:rPr>
          <w:rFonts w:hint="eastAsia" w:eastAsia="仿宋_GB2312" w:cs="楷体_GB2312"/>
          <w:bCs/>
          <w:sz w:val="32"/>
          <w:szCs w:val="32"/>
        </w:rPr>
        <w:t>资金管理情况</w:t>
      </w:r>
    </w:p>
    <w:p>
      <w:pPr>
        <w:snapToGrid w:val="0"/>
        <w:spacing w:line="580" w:lineRule="exact"/>
        <w:ind w:firstLine="640" w:firstLineChars="200"/>
        <w:rPr>
          <w:rFonts w:eastAsia="仿宋_GB2312" w:cs="楷体_GB2312"/>
          <w:bCs/>
          <w:sz w:val="32"/>
          <w:szCs w:val="32"/>
        </w:rPr>
      </w:pPr>
      <w:r>
        <w:rPr>
          <w:rFonts w:hint="eastAsia" w:eastAsia="仿宋_GB2312" w:cs="楷体_GB2312"/>
          <w:bCs/>
          <w:sz w:val="32"/>
          <w:szCs w:val="32"/>
        </w:rPr>
        <w:t>（</w:t>
      </w:r>
      <w:r>
        <w:rPr>
          <w:rFonts w:eastAsia="仿宋_GB2312" w:cs="楷体_GB2312"/>
          <w:bCs/>
          <w:sz w:val="32"/>
          <w:szCs w:val="32"/>
        </w:rPr>
        <w:t>1</w:t>
      </w:r>
      <w:r>
        <w:rPr>
          <w:rFonts w:hint="eastAsia" w:eastAsia="仿宋_GB2312" w:cs="楷体_GB2312"/>
          <w:bCs/>
          <w:sz w:val="32"/>
          <w:szCs w:val="32"/>
        </w:rPr>
        <w:t>）资金支出情况</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2020年度，年度预算数为1,505.65万元，全年实际支出1,504.52万元，预算执行率99.92%。年度总体预算资金执行情况优秀,实施过程中严格把控资金使用情况。</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2020年度基本支出年中调整预算数为812.76万元，实际支出812.33万元，实际执行比例99.95%；项目预算年中调整预算数为692.47万元，实际支出692.19万元，预算执行率为99.96%，项目支出主要用于医疗卫生管理、卫生监督业务等工作。</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（2）财政资金结转结余情况</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我所2020年初与年末财政资金结转结余为0万元，</w:t>
      </w:r>
      <w:r>
        <w:rPr>
          <w:rFonts w:hint="eastAsia" w:ascii="仿宋_GB2312" w:hAnsi="仿宋_GB2312" w:eastAsia="仿宋_GB2312" w:cs="仿宋_GB2312"/>
          <w:sz w:val="32"/>
          <w:szCs w:val="32"/>
        </w:rPr>
        <w:t>结转结余资金的控制程度</w:t>
      </w:r>
      <w:r>
        <w:rPr>
          <w:rFonts w:hint="eastAsia" w:ascii="仿宋_GB2312" w:hAnsi="仿宋_GB2312" w:eastAsia="仿宋_GB2312" w:cs="仿宋_GB2312"/>
          <w:bCs/>
          <w:sz w:val="32"/>
          <w:szCs w:val="32"/>
        </w:rPr>
        <w:t>优秀。</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（3）政府采购执行情况</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2020年我所无政府采购支出。</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（4）财务合规性</w:t>
      </w:r>
    </w:p>
    <w:p>
      <w:pPr>
        <w:snapToGrid w:val="0"/>
        <w:spacing w:line="580" w:lineRule="exact"/>
        <w:ind w:firstLine="640" w:firstLineChars="200"/>
        <w:rPr>
          <w:rFonts w:eastAsia="仿宋_GB2312" w:cs="楷体_GB2312"/>
          <w:bCs/>
          <w:sz w:val="32"/>
          <w:szCs w:val="32"/>
        </w:rPr>
      </w:pPr>
      <w:r>
        <w:rPr>
          <w:rFonts w:hint="eastAsia" w:ascii="仿宋_GB2312" w:hAnsi="仿宋_GB2312" w:eastAsia="仿宋_GB2312" w:cs="仿宋_GB2312"/>
          <w:bCs/>
          <w:sz w:val="32"/>
          <w:szCs w:val="32"/>
        </w:rPr>
        <w:t>结合我所内部管理要求及本次绩效自评工作业务自查，资金支出规范，资金管理、费用标准、支付严格按照预算批复、业务需求及相关财务制度规定执行，无超范围、超标准支出，不存在截留、挤占、挪用项目资金情况。预算执行规范，按规定履行预算调整报批手续，调整、调剂资金累计占我所部门预算总规模5.38%，控制在 10%以内。会计核算制度执行规范，不存在支出依据不合规、虚列项目支出的情况，重大项目支出经过前期评估论证和我所领导班子会议研究</w:t>
      </w:r>
      <w:r>
        <w:rPr>
          <w:rFonts w:hint="eastAsia" w:eastAsia="仿宋_GB2312" w:cs="楷体_GB2312"/>
          <w:bCs/>
          <w:sz w:val="32"/>
          <w:szCs w:val="32"/>
        </w:rPr>
        <w:t>决定。</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（5）预决算信息公开情况</w:t>
      </w:r>
    </w:p>
    <w:p>
      <w:pPr>
        <w:snapToGrid w:val="0"/>
        <w:spacing w:line="58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中共中央办公厅、国务院办公厅印发</w:t>
      </w:r>
      <w:r>
        <w:rPr>
          <w:rFonts w:hint="eastAsia" w:ascii="仿宋_GB2312" w:hAnsi="仿宋_GB2312" w:eastAsia="仿宋_GB2312" w:cs="仿宋_GB2312"/>
          <w:sz w:val="32"/>
          <w:szCs w:val="32"/>
        </w:rPr>
        <w:t>《关于进一步推进预算公开工作的意见》（中办发〔2016〕13 号）、《地方预决算公开操作规程》（财预〔2016〕143 号）及《深圳市预算公开工作管理办法》（深财预〔2016〕136 号）等相关要求，我所已于 2020 年 2月 7 日、2020 年 9 月 28日</w:t>
      </w:r>
      <w:r>
        <w:rPr>
          <w:rFonts w:hint="eastAsia" w:ascii="仿宋_GB2312" w:hAnsi="仿宋_GB2312" w:eastAsia="仿宋_GB2312" w:cs="仿宋_GB2312"/>
          <w:sz w:val="32"/>
          <w:szCs w:val="32"/>
          <w:lang w:eastAsia="zh-CN"/>
        </w:rPr>
        <w:t>分别</w:t>
      </w:r>
      <w:r>
        <w:rPr>
          <w:rFonts w:hint="eastAsia" w:ascii="仿宋_GB2312" w:hAnsi="仿宋_GB2312" w:eastAsia="仿宋_GB2312" w:cs="仿宋_GB2312"/>
          <w:sz w:val="32"/>
          <w:szCs w:val="32"/>
        </w:rPr>
        <w:t>通过深圳市大鹏新区政府在线门户</w:t>
      </w:r>
      <w:r>
        <w:rPr>
          <w:rFonts w:hint="eastAsia" w:ascii="仿宋_GB2312" w:hAnsi="仿宋_GB2312" w:eastAsia="仿宋_GB2312" w:cs="仿宋_GB2312"/>
          <w:sz w:val="32"/>
          <w:szCs w:val="32"/>
          <w:lang w:val="en-US" w:eastAsia="zh-CN"/>
        </w:rPr>
        <w:t>网站</w:t>
      </w:r>
      <w:r>
        <w:rPr>
          <w:rFonts w:hint="eastAsia" w:ascii="仿宋_GB2312" w:hAnsi="仿宋_GB2312" w:eastAsia="仿宋_GB2312" w:cs="仿宋_GB2312"/>
          <w:sz w:val="32"/>
          <w:szCs w:val="32"/>
        </w:rPr>
        <w:t>向社会公开了2020年部门预算、2019年度部门决算资金信息。</w:t>
      </w:r>
    </w:p>
    <w:p>
      <w:pPr>
        <w:snapToGrid w:val="0"/>
        <w:spacing w:line="580" w:lineRule="exact"/>
        <w:ind w:firstLine="640" w:firstLineChars="200"/>
        <w:outlineLvl w:val="2"/>
        <w:rPr>
          <w:rFonts w:eastAsia="仿宋_GB2312" w:cs="楷体_GB2312"/>
          <w:bCs/>
          <w:sz w:val="32"/>
          <w:szCs w:val="32"/>
        </w:rPr>
      </w:pPr>
      <w:r>
        <w:rPr>
          <w:rFonts w:eastAsia="仿宋_GB2312" w:cs="楷体_GB2312"/>
          <w:bCs/>
          <w:sz w:val="32"/>
          <w:szCs w:val="32"/>
        </w:rPr>
        <w:t>2.</w:t>
      </w:r>
      <w:r>
        <w:rPr>
          <w:rFonts w:hint="eastAsia" w:eastAsia="仿宋_GB2312" w:cs="楷体_GB2312"/>
          <w:bCs/>
          <w:sz w:val="32"/>
          <w:szCs w:val="32"/>
        </w:rPr>
        <w:t>项目管理情况</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2020年我所按要求一共申报一级绩效项目共2个，年初预算金额665.26万元；年中进行了调整，追加疫情防控临时工作补助3.44万元，调整后预算金额为692.47万元，决算项目实际支出金额692.19万元。</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纳入2020年绩效自评的项目个数为3个及支出金额为692.19万元。</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按照项目支出明细类别主要是：（1）综合管理事务630.57万元；（2）卫生监督业务58.19万元；（2）疫情防控临时工作补助3.44万元。</w:t>
      </w:r>
    </w:p>
    <w:p>
      <w:pPr>
        <w:snapToGrid w:val="0"/>
        <w:spacing w:line="580" w:lineRule="exact"/>
        <w:ind w:firstLine="640" w:firstLineChars="200"/>
        <w:outlineLvl w:val="2"/>
        <w:rPr>
          <w:rFonts w:eastAsia="仿宋_GB2312" w:cs="楷体_GB2312"/>
          <w:bCs/>
          <w:sz w:val="32"/>
          <w:szCs w:val="32"/>
        </w:rPr>
      </w:pPr>
      <w:r>
        <w:rPr>
          <w:rFonts w:hint="eastAsia" w:eastAsia="仿宋_GB2312" w:cs="楷体_GB2312"/>
          <w:bCs/>
          <w:sz w:val="32"/>
          <w:szCs w:val="32"/>
        </w:rPr>
        <w:t>我所预算项目实行项目库统一管理，其设立和调整严格执行报批程序，其中，一级项目按照单位履职分类设置，基本保持固定；二级项目根据当年业务重点和工作要求设置，其调整由预算管理员提请申请，经办公室主任、分管办公室领导审核，所领导班子成员会议审定后，报新区财政部门审批；三级项目为具体工作任务和开展工作所需经费构成情况，明确了各项经费的支出标准、数量依据和具体测算过程等。</w:t>
      </w:r>
    </w:p>
    <w:p>
      <w:pPr>
        <w:snapToGrid w:val="0"/>
        <w:spacing w:line="580" w:lineRule="exact"/>
        <w:ind w:firstLine="640" w:firstLineChars="200"/>
        <w:outlineLvl w:val="2"/>
        <w:rPr>
          <w:rFonts w:eastAsia="仿宋_GB2312" w:cs="楷体_GB2312"/>
          <w:bCs/>
          <w:sz w:val="32"/>
          <w:szCs w:val="32"/>
        </w:rPr>
      </w:pPr>
      <w:r>
        <w:rPr>
          <w:rFonts w:hint="eastAsia" w:eastAsia="仿宋_GB2312" w:cs="楷体_GB2312"/>
          <w:bCs/>
          <w:sz w:val="32"/>
          <w:szCs w:val="32"/>
        </w:rPr>
        <w:t>项目实施过程中，凡涉及采购事项的，均严格按照《深圳经济特区政府采购条例》《深圳经济特区政府采购条例实施细则》等有关法律法规以及</w:t>
      </w:r>
      <w:r>
        <w:rPr>
          <w:rFonts w:hint="eastAsia" w:eastAsia="仿宋_GB2312" w:cs="楷体_GB2312"/>
          <w:bCs/>
          <w:sz w:val="32"/>
          <w:szCs w:val="32"/>
          <w:highlight w:val="none"/>
        </w:rPr>
        <w:t>《深圳市大鹏新区卫生监督所内部控制制度》《深圳市大鹏新区卫生监督所</w:t>
      </w:r>
      <w:r>
        <w:rPr>
          <w:rFonts w:hint="eastAsia" w:eastAsia="仿宋_GB2312" w:cs="楷体_GB2312"/>
          <w:bCs/>
          <w:sz w:val="32"/>
          <w:szCs w:val="32"/>
          <w:highlight w:val="none"/>
          <w:lang w:eastAsia="zh-CN"/>
        </w:rPr>
        <w:t>自行采购管理办法</w:t>
      </w:r>
      <w:r>
        <w:rPr>
          <w:rFonts w:hint="eastAsia" w:eastAsia="仿宋_GB2312" w:cs="楷体_GB2312"/>
          <w:bCs/>
          <w:sz w:val="32"/>
          <w:szCs w:val="32"/>
          <w:highlight w:val="none"/>
        </w:rPr>
        <w:t>》</w:t>
      </w:r>
      <w:r>
        <w:rPr>
          <w:rFonts w:hint="eastAsia" w:eastAsia="仿宋_GB2312" w:cs="楷体_GB2312"/>
          <w:bCs/>
          <w:sz w:val="32"/>
          <w:szCs w:val="32"/>
        </w:rPr>
        <w:t>等规定执行，采购需求人员依照批复的预算指标和对应的经费审批流程提请采购申请，采购执行人根据采购类别以及金额标准分别实行公开招标、单一来源、竞争性谈判、预选供应商、询价等采购方式选择供应商，并按规定签订采购合同，依据项目进度和合同约定执行项目验收、办理价款支付。项目实施程序合法合规，项目管控总体情况良好。</w:t>
      </w:r>
    </w:p>
    <w:p>
      <w:pPr>
        <w:snapToGrid w:val="0"/>
        <w:spacing w:line="580" w:lineRule="exact"/>
        <w:ind w:firstLine="640" w:firstLineChars="200"/>
        <w:outlineLvl w:val="2"/>
        <w:rPr>
          <w:rFonts w:eastAsia="仿宋_GB2312" w:cs="楷体_GB2312"/>
          <w:bCs/>
          <w:sz w:val="32"/>
          <w:szCs w:val="32"/>
        </w:rPr>
      </w:pPr>
      <w:r>
        <w:rPr>
          <w:rFonts w:hint="eastAsia" w:eastAsia="仿宋_GB2312" w:cs="楷体_GB2312"/>
          <w:bCs/>
          <w:sz w:val="32"/>
          <w:szCs w:val="32"/>
        </w:rPr>
        <w:t>我所已建立资金管理和绩效运行监控机制，项目实施过程中，各业务部门严格落实监督职责，严格把控项目的实施进度、工作质量以及资金使用情况，适时调整项目结构、绩效目标，或收回、撤销、压减预算资金，避免预算执行不到位、实际业务与目标相脱节的情况。</w:t>
      </w:r>
    </w:p>
    <w:p>
      <w:pPr>
        <w:snapToGrid w:val="0"/>
        <w:spacing w:line="580" w:lineRule="exact"/>
        <w:ind w:firstLine="640" w:firstLineChars="200"/>
        <w:outlineLvl w:val="2"/>
        <w:rPr>
          <w:rFonts w:eastAsia="仿宋_GB2312" w:cs="楷体_GB2312"/>
          <w:bCs/>
          <w:sz w:val="32"/>
          <w:szCs w:val="32"/>
        </w:rPr>
      </w:pPr>
      <w:r>
        <w:rPr>
          <w:rFonts w:eastAsia="仿宋_GB2312" w:cs="楷体_GB2312"/>
          <w:bCs/>
          <w:sz w:val="32"/>
          <w:szCs w:val="32"/>
        </w:rPr>
        <w:t>3.</w:t>
      </w:r>
      <w:r>
        <w:rPr>
          <w:rFonts w:hint="eastAsia" w:eastAsia="仿宋_GB2312" w:cs="楷体_GB2312"/>
          <w:bCs/>
          <w:sz w:val="32"/>
          <w:szCs w:val="32"/>
        </w:rPr>
        <w:t>资产管理情况</w:t>
      </w:r>
    </w:p>
    <w:p>
      <w:pPr>
        <w:snapToGrid w:val="0"/>
        <w:spacing w:line="580" w:lineRule="exact"/>
        <w:ind w:firstLine="640" w:firstLineChars="200"/>
        <w:rPr>
          <w:rFonts w:eastAsia="仿宋_GB2312" w:cs="楷体_GB2312"/>
          <w:bCs/>
          <w:sz w:val="32"/>
          <w:szCs w:val="32"/>
        </w:rPr>
      </w:pPr>
      <w:r>
        <w:rPr>
          <w:rFonts w:hint="eastAsia" w:eastAsia="仿宋_GB2312" w:cs="楷体_GB2312"/>
          <w:bCs/>
          <w:sz w:val="32"/>
          <w:szCs w:val="32"/>
        </w:rPr>
        <w:t>（1）资产管理安全性</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所资产配置严格按照《深圳市财政委员会关于印发&lt;深圳市本级行政事业单位常用办公设备配置预算标准&gt;的通知》（深财规〔2013〕20号）《深圳市市直党政机关办公家具配置标准》（深财资〔2018〕45号）等标准执行，全年新增固定资产3.68万元，无形资产0万元，均用于日常办公以及项目开展。</w:t>
      </w:r>
      <w:r>
        <w:rPr>
          <w:rFonts w:hint="eastAsia" w:ascii="仿宋_GB2312" w:hAnsi="仿宋_GB2312" w:eastAsia="仿宋_GB2312" w:cs="仿宋_GB2312"/>
          <w:bCs/>
          <w:sz w:val="32"/>
          <w:szCs w:val="32"/>
          <w:lang w:eastAsia="zh-CN"/>
        </w:rPr>
        <w:t>截至</w:t>
      </w:r>
      <w:r>
        <w:rPr>
          <w:rFonts w:hint="eastAsia" w:ascii="仿宋_GB2312" w:hAnsi="仿宋_GB2312" w:eastAsia="仿宋_GB2312" w:cs="仿宋_GB2312"/>
          <w:bCs/>
          <w:sz w:val="32"/>
          <w:szCs w:val="32"/>
        </w:rPr>
        <w:t>2020年12月31日，单位资产账面数532.15万元，实有数532.15万元，账面数与实有数相等，单位资产入账及时、保管到位。</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我所固定资产处置严格按照大鹏新区</w:t>
      </w:r>
      <w:r>
        <w:rPr>
          <w:rFonts w:hint="eastAsia" w:ascii="仿宋_GB2312" w:hAnsi="仿宋_GB2312" w:eastAsia="仿宋_GB2312" w:cs="仿宋_GB2312"/>
          <w:bCs/>
          <w:sz w:val="32"/>
          <w:szCs w:val="32"/>
          <w:lang w:eastAsia="zh-CN"/>
        </w:rPr>
        <w:t>发展和</w:t>
      </w:r>
      <w:r>
        <w:rPr>
          <w:rFonts w:hint="eastAsia" w:ascii="仿宋_GB2312" w:hAnsi="仿宋_GB2312" w:eastAsia="仿宋_GB2312" w:cs="仿宋_GB2312"/>
          <w:bCs/>
          <w:sz w:val="32"/>
          <w:szCs w:val="32"/>
        </w:rPr>
        <w:t>财政局关于转发《深圳市财政委员会关于印发&lt;深圳市本级行政事业单位国有资产处置办法&gt;的通知》办理，全年共处置资产1批，账面原值285.21万元，其中报废通用设备41.86万元；家具1.84万元；专用设备241.50万元，回收资金0.33万元，均足额上缴国库。</w:t>
      </w:r>
    </w:p>
    <w:p>
      <w:pPr>
        <w:snapToGrid w:val="0"/>
        <w:spacing w:line="580" w:lineRule="exact"/>
        <w:ind w:firstLine="640" w:firstLineChars="200"/>
        <w:rPr>
          <w:rFonts w:eastAsia="仿宋_GB2312" w:cs="楷体_GB2312"/>
          <w:bCs/>
          <w:sz w:val="32"/>
          <w:szCs w:val="32"/>
        </w:rPr>
      </w:pPr>
      <w:r>
        <w:rPr>
          <w:rFonts w:hint="eastAsia" w:eastAsia="仿宋_GB2312" w:cs="楷体_GB2312"/>
          <w:bCs/>
          <w:sz w:val="32"/>
          <w:szCs w:val="32"/>
        </w:rPr>
        <w:t>（2）固定资产利用率</w:t>
      </w:r>
    </w:p>
    <w:p>
      <w:pPr>
        <w:snapToGrid w:val="0"/>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国有资产报表显示，我所固定资产总额532.15万元，实际在用固定资产总额513.78万元，固定资产利用率达96.55%，其中未在用资产为闲置通用设备2台原值0.63万元，一辆待处置车辆原值15.43万元、两台待处置通用设备原值0.89万元及一台专用设备1.40万元。我所资产使用效率总体较高。</w:t>
      </w:r>
    </w:p>
    <w:p>
      <w:pPr>
        <w:snapToGrid w:val="0"/>
        <w:spacing w:line="580" w:lineRule="exact"/>
        <w:ind w:firstLine="640" w:firstLineChars="200"/>
        <w:outlineLvl w:val="2"/>
        <w:rPr>
          <w:rFonts w:eastAsia="仿宋_GB2312" w:cs="楷体_GB2312"/>
          <w:bCs/>
          <w:sz w:val="32"/>
          <w:szCs w:val="32"/>
        </w:rPr>
      </w:pPr>
      <w:r>
        <w:rPr>
          <w:rFonts w:eastAsia="仿宋_GB2312" w:cs="楷体_GB2312"/>
          <w:bCs/>
          <w:sz w:val="32"/>
          <w:szCs w:val="32"/>
        </w:rPr>
        <w:t>4.</w:t>
      </w:r>
      <w:r>
        <w:rPr>
          <w:rFonts w:hint="eastAsia" w:eastAsia="仿宋_GB2312" w:cs="楷体_GB2312"/>
          <w:bCs/>
          <w:sz w:val="32"/>
          <w:szCs w:val="32"/>
        </w:rPr>
        <w:t>人员管理情况</w:t>
      </w:r>
    </w:p>
    <w:p>
      <w:pPr>
        <w:snapToGrid w:val="0"/>
        <w:spacing w:line="580" w:lineRule="exact"/>
        <w:ind w:firstLine="640" w:firstLineChars="200"/>
        <w:outlineLvl w:val="2"/>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我所核定事业编制人数17人，截至 2020 年 12 月 31 日，实有事业在编人数17人，财政供养人员控制率为 100 %，严格控制财政供养人员，无超编超员的情况存在。</w:t>
      </w:r>
    </w:p>
    <w:p>
      <w:pPr>
        <w:snapToGrid w:val="0"/>
        <w:spacing w:line="580" w:lineRule="exact"/>
        <w:ind w:firstLine="640" w:firstLineChars="200"/>
        <w:outlineLvl w:val="2"/>
        <w:rPr>
          <w:rFonts w:eastAsia="仿宋_GB2312" w:cs="楷体_GB2312"/>
          <w:bCs/>
          <w:sz w:val="32"/>
          <w:szCs w:val="32"/>
        </w:rPr>
      </w:pPr>
      <w:r>
        <w:rPr>
          <w:rFonts w:hint="eastAsia" w:ascii="仿宋_GB2312" w:hAnsi="仿宋_GB2312" w:eastAsia="仿宋_GB2312" w:cs="仿宋_GB2312"/>
          <w:bCs/>
          <w:sz w:val="32"/>
          <w:szCs w:val="32"/>
        </w:rPr>
        <w:t>本年度使用劳务派遣人员人数（含直接聘用的编外人员）31人，编外人员控制率为64.58%。</w:t>
      </w:r>
    </w:p>
    <w:p>
      <w:pPr>
        <w:snapToGrid w:val="0"/>
        <w:spacing w:line="580" w:lineRule="exact"/>
        <w:ind w:firstLine="640" w:firstLineChars="200"/>
        <w:outlineLvl w:val="2"/>
        <w:rPr>
          <w:rFonts w:eastAsia="仿宋_GB2312" w:cs="楷体_GB2312"/>
          <w:bCs/>
          <w:sz w:val="32"/>
          <w:szCs w:val="32"/>
        </w:rPr>
      </w:pPr>
      <w:r>
        <w:rPr>
          <w:rFonts w:eastAsia="仿宋_GB2312" w:cs="楷体_GB2312"/>
          <w:bCs/>
          <w:sz w:val="32"/>
          <w:szCs w:val="32"/>
        </w:rPr>
        <w:t>5.</w:t>
      </w:r>
      <w:r>
        <w:rPr>
          <w:rFonts w:hint="eastAsia" w:eastAsia="仿宋_GB2312" w:cs="楷体_GB2312"/>
          <w:bCs/>
          <w:sz w:val="32"/>
          <w:szCs w:val="32"/>
        </w:rPr>
        <w:t>制度建立情况</w:t>
      </w:r>
    </w:p>
    <w:p>
      <w:pPr>
        <w:snapToGrid w:val="0"/>
        <w:spacing w:line="580" w:lineRule="exact"/>
        <w:ind w:firstLine="640" w:firstLineChars="200"/>
        <w:rPr>
          <w:rFonts w:eastAsia="仿宋_GB2312" w:cs="楷体_GB2312"/>
          <w:bCs/>
          <w:sz w:val="32"/>
          <w:szCs w:val="32"/>
        </w:rPr>
      </w:pPr>
      <w:r>
        <w:rPr>
          <w:rFonts w:hint="eastAsia" w:eastAsia="仿宋_GB2312" w:cs="楷体_GB2312"/>
          <w:bCs/>
          <w:sz w:val="32"/>
          <w:szCs w:val="32"/>
        </w:rPr>
        <w:t>我所在财政资金管理、内部财务管理、预算绩效管理等方面都建立了较为完善的内部管理制度。编制了《深圳市大鹏新区卫生监督所内部控制管理制度》，对单位财务管理、公务出差、公务接待、采购管理、固定资产管理、办公用品</w:t>
      </w:r>
      <w:r>
        <w:rPr>
          <w:rFonts w:hint="eastAsia" w:eastAsia="仿宋_GB2312" w:cs="楷体_GB2312"/>
          <w:bCs/>
          <w:sz w:val="32"/>
          <w:szCs w:val="32"/>
          <w:lang w:eastAsia="zh-CN"/>
        </w:rPr>
        <w:t>，</w:t>
      </w:r>
      <w:r>
        <w:rPr>
          <w:rFonts w:hint="eastAsia" w:eastAsia="仿宋_GB2312" w:cs="楷体_GB2312"/>
          <w:bCs/>
          <w:sz w:val="32"/>
          <w:szCs w:val="32"/>
        </w:rPr>
        <w:t>和合同管理等方面进行了规范。</w:t>
      </w:r>
    </w:p>
    <w:p>
      <w:pPr>
        <w:snapToGrid w:val="0"/>
        <w:spacing w:line="578" w:lineRule="exact"/>
        <w:ind w:firstLine="640" w:firstLineChars="200"/>
        <w:rPr>
          <w:rFonts w:eastAsia="仿宋_GB2312"/>
          <w:sz w:val="32"/>
          <w:szCs w:val="32"/>
          <w:highlight w:val="none"/>
        </w:rPr>
      </w:pPr>
      <w:r>
        <w:rPr>
          <w:rFonts w:hint="eastAsia" w:eastAsia="仿宋_GB2312" w:cs="楷体_GB2312"/>
          <w:bCs/>
          <w:sz w:val="32"/>
          <w:szCs w:val="32"/>
          <w:highlight w:val="none"/>
        </w:rPr>
        <w:t>目前我所实行的管理制度基本涵盖重大事项管理、预算管理、收支管理、政府采购管理、资产管理、合同管理等各部门基本业务活动，部门职能履行与预算执行得以保障。</w:t>
      </w:r>
    </w:p>
    <w:p>
      <w:pPr>
        <w:spacing w:line="580" w:lineRule="exact"/>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spacing w:line="580" w:lineRule="exact"/>
        <w:ind w:firstLine="640" w:firstLineChars="200"/>
        <w:rPr>
          <w:rFonts w:ascii="楷体_GB2312" w:hAnsi="楷体" w:eastAsia="楷体_GB2312"/>
          <w:b w:val="0"/>
          <w:bCs/>
          <w:sz w:val="32"/>
          <w:szCs w:val="32"/>
        </w:rPr>
      </w:pPr>
      <w:r>
        <w:rPr>
          <w:rFonts w:hint="eastAsia" w:ascii="楷体_GB2312" w:hAnsi="楷体" w:eastAsia="楷体_GB2312"/>
          <w:b w:val="0"/>
          <w:bCs/>
          <w:sz w:val="32"/>
          <w:szCs w:val="32"/>
        </w:rPr>
        <w:t>（一）主要履职目标</w:t>
      </w:r>
    </w:p>
    <w:p>
      <w:pPr>
        <w:spacing w:line="580" w:lineRule="exact"/>
        <w:ind w:firstLine="640" w:firstLineChars="200"/>
        <w:rPr>
          <w:rFonts w:ascii="楷体_GB2312" w:hAnsi="楷体" w:eastAsia="楷体_GB2312"/>
          <w:bCs/>
          <w:sz w:val="32"/>
          <w:szCs w:val="32"/>
        </w:rPr>
      </w:pPr>
      <w:r>
        <w:rPr>
          <w:rFonts w:hint="eastAsia" w:ascii="仿宋_GB2312" w:hAnsi="仿宋_GB2312" w:eastAsia="仿宋_GB2312" w:cs="仿宋_GB2312"/>
          <w:bCs/>
          <w:sz w:val="32"/>
          <w:szCs w:val="32"/>
        </w:rPr>
        <w:t>2020年</w:t>
      </w:r>
      <w:r>
        <w:rPr>
          <w:rFonts w:hint="eastAsia" w:eastAsia="仿宋_GB2312" w:cs="楷体_GB2312"/>
          <w:bCs/>
          <w:sz w:val="32"/>
          <w:szCs w:val="32"/>
        </w:rPr>
        <w:t>，大鹏新区卫生监督所主要履职目标为坚持党建引领，在</w:t>
      </w:r>
      <w:r>
        <w:rPr>
          <w:rFonts w:hint="eastAsia" w:eastAsia="仿宋_GB2312" w:cs="楷体_GB2312"/>
          <w:bCs/>
          <w:sz w:val="32"/>
          <w:szCs w:val="32"/>
          <w:lang w:eastAsia="zh-CN"/>
        </w:rPr>
        <w:t>新冠肺炎</w:t>
      </w:r>
      <w:r>
        <w:rPr>
          <w:rFonts w:hint="eastAsia" w:eastAsia="仿宋_GB2312" w:cs="楷体_GB2312"/>
          <w:bCs/>
          <w:sz w:val="32"/>
          <w:szCs w:val="32"/>
        </w:rPr>
        <w:t>疫情防控常态化的背景下，践行市卫生监督局和新区教育和卫生健康局的工作部署，恪守以民为本、执法为民的理念，依法全面履行公共卫生监管职能，从新区实际情况出发，完善执法体制机制，健全执法服务体系，坚持严格规范公正文明执法，全面推进各项卫生监督工作。</w:t>
      </w:r>
    </w:p>
    <w:p>
      <w:pPr>
        <w:spacing w:line="580" w:lineRule="exact"/>
        <w:ind w:firstLine="640" w:firstLineChars="200"/>
        <w:rPr>
          <w:rFonts w:ascii="楷体_GB2312" w:hAnsi="楷体" w:eastAsia="楷体_GB2312"/>
          <w:b w:val="0"/>
          <w:bCs/>
          <w:sz w:val="32"/>
          <w:szCs w:val="32"/>
        </w:rPr>
      </w:pPr>
      <w:r>
        <w:rPr>
          <w:rFonts w:hint="eastAsia" w:ascii="楷体_GB2312" w:hAnsi="楷体" w:eastAsia="楷体_GB2312"/>
          <w:b w:val="0"/>
          <w:bCs/>
          <w:sz w:val="32"/>
          <w:szCs w:val="32"/>
        </w:rPr>
        <w:t>（二）主要履职情况</w:t>
      </w:r>
    </w:p>
    <w:p>
      <w:pPr>
        <w:spacing w:line="580" w:lineRule="exact"/>
        <w:ind w:firstLine="640" w:firstLineChars="200"/>
        <w:rPr>
          <w:rFonts w:eastAsia="仿宋_GB2312" w:cs="楷体_GB2312"/>
          <w:bCs/>
          <w:sz w:val="32"/>
          <w:szCs w:val="32"/>
        </w:rPr>
      </w:pPr>
      <w:r>
        <w:rPr>
          <w:rFonts w:hint="eastAsia" w:ascii="仿宋_GB2312" w:hAnsi="仿宋_GB2312" w:eastAsia="仿宋_GB2312" w:cs="仿宋_GB2312"/>
          <w:bCs/>
          <w:sz w:val="32"/>
          <w:szCs w:val="32"/>
        </w:rPr>
        <w:t>2020年，是深圳经济特区建立40周年，为深入贯彻落实习近平总书记出席经济特区建立40周年庆祝大会和视察广东、深圳重要讲话、重要指示精神，以及保障大鹏新区卫生监督所项目的顺利实施，我所主要采取了以下措施</w:t>
      </w:r>
      <w:r>
        <w:rPr>
          <w:rFonts w:hint="eastAsia" w:eastAsia="仿宋_GB2312" w:cs="楷体_GB2312"/>
          <w:bCs/>
          <w:sz w:val="32"/>
          <w:szCs w:val="32"/>
        </w:rPr>
        <w:t>：</w:t>
      </w:r>
    </w:p>
    <w:p>
      <w:pPr>
        <w:numPr>
          <w:ilvl w:val="0"/>
          <w:numId w:val="0"/>
        </w:numPr>
        <w:spacing w:line="580" w:lineRule="exact"/>
        <w:ind w:firstLine="640" w:firstLineChars="200"/>
        <w:rPr>
          <w:rFonts w:hint="eastAsia" w:eastAsia="仿宋_GB2312" w:cs="楷体_GB2312"/>
          <w:b w:val="0"/>
          <w:bCs/>
          <w:sz w:val="32"/>
          <w:szCs w:val="32"/>
        </w:rPr>
      </w:pPr>
      <w:r>
        <w:rPr>
          <w:rFonts w:hint="default" w:eastAsia="仿宋_GB2312" w:cs="楷体_GB2312"/>
          <w:b w:val="0"/>
          <w:bCs/>
          <w:sz w:val="32"/>
          <w:szCs w:val="32"/>
        </w:rPr>
        <w:t>1</w:t>
      </w:r>
      <w:r>
        <w:rPr>
          <w:rFonts w:hint="eastAsia" w:eastAsia="仿宋_GB2312" w:cs="楷体_GB2312"/>
          <w:b w:val="0"/>
          <w:bCs/>
          <w:sz w:val="32"/>
          <w:szCs w:val="32"/>
          <w:lang w:val="en-US" w:eastAsia="zh-Hans"/>
        </w:rPr>
        <w:t>.</w:t>
      </w:r>
      <w:r>
        <w:rPr>
          <w:rFonts w:hint="eastAsia" w:eastAsia="仿宋_GB2312" w:cs="楷体_GB2312"/>
          <w:b w:val="0"/>
          <w:bCs/>
          <w:sz w:val="32"/>
          <w:szCs w:val="32"/>
        </w:rPr>
        <w:t>细化人物同防措施，筑牢疫情防控安全线</w:t>
      </w:r>
      <w:r>
        <w:rPr>
          <w:rFonts w:hint="eastAsia" w:eastAsia="仿宋_GB2312" w:cs="楷体_GB2312"/>
          <w:b w:val="0"/>
          <w:bCs/>
          <w:sz w:val="32"/>
          <w:szCs w:val="32"/>
          <w:lang w:eastAsia="zh-CN"/>
        </w:rPr>
        <w:t>。</w:t>
      </w:r>
    </w:p>
    <w:p>
      <w:pPr>
        <w:spacing w:line="580" w:lineRule="exact"/>
        <w:ind w:firstLine="640" w:firstLineChars="200"/>
        <w:rPr>
          <w:rFonts w:eastAsia="仿宋_GB2312" w:cs="楷体_GB2312"/>
          <w:bCs/>
          <w:sz w:val="32"/>
          <w:szCs w:val="32"/>
        </w:rPr>
      </w:pPr>
      <w:r>
        <w:rPr>
          <w:rFonts w:hint="eastAsia" w:ascii="仿宋_GB2312" w:hAnsi="仿宋_GB2312" w:eastAsia="仿宋_GB2312" w:cs="仿宋_GB2312"/>
          <w:bCs/>
          <w:sz w:val="32"/>
          <w:szCs w:val="32"/>
        </w:rPr>
        <w:t>我所分别于1月22日和1月27日制定了深鹏卫监〔2020〕2号《大鹏新区卫生监督所突发急性传染病疫情卫生监督应</w:t>
      </w:r>
      <w:r>
        <w:rPr>
          <w:rFonts w:hint="eastAsia" w:ascii="仿宋_GB2312" w:hAnsi="仿宋_GB2312" w:eastAsia="仿宋_GB2312" w:cs="仿宋_GB2312"/>
          <w:bCs/>
          <w:sz w:val="32"/>
          <w:szCs w:val="32"/>
          <w:highlight w:val="none"/>
        </w:rPr>
        <w:t>急预案》</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深鹏卫监〔2020〕3号《大鹏新区卫生监督所防控新型冠状病毒肺炎工作方案（第一版）》</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深鹏卫监〔2020〕4号《大鹏新区卫生监督所防控新型冠状病毒肺炎工作方案（第二版）》。根据市卫监局工作部署和要求，6月29日制定了《大鹏新区卫生监督所常态化疫情防控工作方案》深鹏卫监〔2020〕9号。</w:t>
      </w:r>
      <w:r>
        <w:rPr>
          <w:rFonts w:hint="eastAsia" w:ascii="仿宋_GB2312" w:hAnsi="仿宋_GB2312" w:eastAsia="仿宋_GB2312" w:cs="仿宋_GB2312"/>
          <w:bCs/>
          <w:sz w:val="32"/>
          <w:szCs w:val="32"/>
        </w:rPr>
        <w:t>建立健全疫情防控工作机制，明确各自职责分工，责任到岗，任务到人。按要求参加市局组织疫情防控工作会议和培训。积极完成省市疫情防控指挥部、省市卫生健康部门、市卫生监督局有关疫情防控工作任务，</w:t>
      </w:r>
      <w:r>
        <w:rPr>
          <w:rFonts w:hint="eastAsia" w:ascii="仿宋_GB2312" w:hAnsi="仿宋_GB2312" w:eastAsia="仿宋_GB2312" w:cs="仿宋_GB2312"/>
          <w:bCs/>
          <w:sz w:val="32"/>
          <w:szCs w:val="32"/>
          <w:lang w:val="en-US" w:eastAsia="zh-CN"/>
        </w:rPr>
        <w:t>2020年度</w:t>
      </w:r>
      <w:r>
        <w:rPr>
          <w:rFonts w:hint="eastAsia" w:ascii="仿宋_GB2312" w:hAnsi="仿宋_GB2312" w:eastAsia="仿宋_GB2312" w:cs="仿宋_GB2312"/>
          <w:bCs/>
          <w:sz w:val="32"/>
          <w:szCs w:val="32"/>
        </w:rPr>
        <w:t>，开展疫情防控工作共出动执法车844辆次、卫生监督员2589人次，监督检查场所1580间次，发放《疫情告知书》325份、疫情防控指引5811份、《卫生监督意见书》511份</w:t>
      </w:r>
      <w:r>
        <w:rPr>
          <w:rFonts w:hint="eastAsia" w:eastAsia="仿宋_GB2312" w:cs="楷体_GB2312"/>
          <w:bCs/>
          <w:sz w:val="32"/>
          <w:szCs w:val="32"/>
        </w:rPr>
        <w:t>。</w:t>
      </w:r>
    </w:p>
    <w:p>
      <w:pPr>
        <w:numPr>
          <w:ilvl w:val="0"/>
          <w:numId w:val="0"/>
        </w:numPr>
        <w:spacing w:line="580" w:lineRule="exact"/>
        <w:ind w:firstLine="480" w:firstLineChars="150"/>
        <w:rPr>
          <w:rFonts w:hint="eastAsia" w:eastAsia="仿宋_GB2312" w:cs="楷体_GB2312"/>
          <w:b w:val="0"/>
          <w:bCs/>
          <w:sz w:val="32"/>
          <w:szCs w:val="32"/>
        </w:rPr>
      </w:pPr>
      <w:r>
        <w:rPr>
          <w:rFonts w:hint="default" w:eastAsia="仿宋_GB2312" w:cs="楷体_GB2312"/>
          <w:b w:val="0"/>
          <w:bCs/>
          <w:sz w:val="32"/>
          <w:szCs w:val="32"/>
        </w:rPr>
        <w:t>2</w:t>
      </w:r>
      <w:r>
        <w:rPr>
          <w:rFonts w:hint="eastAsia" w:eastAsia="仿宋_GB2312" w:cs="楷体_GB2312"/>
          <w:b w:val="0"/>
          <w:bCs/>
          <w:sz w:val="32"/>
          <w:szCs w:val="32"/>
          <w:lang w:val="en-US" w:eastAsia="zh-Hans"/>
        </w:rPr>
        <w:t>.</w:t>
      </w:r>
      <w:r>
        <w:rPr>
          <w:rFonts w:hint="eastAsia" w:eastAsia="仿宋_GB2312" w:cs="楷体_GB2312"/>
          <w:b w:val="0"/>
          <w:bCs/>
          <w:sz w:val="32"/>
          <w:szCs w:val="32"/>
        </w:rPr>
        <w:t>高位推动出重拳，深挖细查除黑恶</w:t>
      </w:r>
      <w:r>
        <w:rPr>
          <w:rFonts w:hint="eastAsia" w:eastAsia="仿宋_GB2312" w:cs="楷体_GB2312"/>
          <w:b w:val="0"/>
          <w:bCs/>
          <w:sz w:val="32"/>
          <w:szCs w:val="32"/>
          <w:lang w:eastAsia="zh-CN"/>
        </w:rPr>
        <w:t>。</w:t>
      </w:r>
    </w:p>
    <w:p>
      <w:pPr>
        <w:spacing w:line="580" w:lineRule="exact"/>
        <w:ind w:firstLine="419" w:firstLineChars="131"/>
        <w:rPr>
          <w:rFonts w:eastAsia="仿宋_GB2312" w:cs="楷体_GB2312"/>
          <w:bCs/>
          <w:sz w:val="32"/>
          <w:szCs w:val="32"/>
        </w:rPr>
      </w:pPr>
      <w:r>
        <w:rPr>
          <w:rFonts w:hint="eastAsia" w:ascii="仿宋_GB2312" w:hAnsi="仿宋_GB2312" w:eastAsia="仿宋_GB2312" w:cs="仿宋_GB2312"/>
          <w:bCs/>
          <w:sz w:val="32"/>
          <w:szCs w:val="32"/>
        </w:rPr>
        <w:t>根据《市卫生监督局关于印发&lt;深圳市卫生监督系统扫黑除恶专项斗争工作实施方案（2018-2020年）&gt;的通知》深卫监〔2018〕32号、《关于做好行业领域涉黑涉恶突出问题专项整治工作的通知》（深扫黑除恶办〔2020〕32号）的要求</w:t>
      </w:r>
      <w:r>
        <w:rPr>
          <w:rFonts w:hint="eastAsia" w:eastAsia="仿宋_GB2312" w:cs="楷体_GB2312"/>
          <w:bCs/>
          <w:sz w:val="32"/>
          <w:szCs w:val="32"/>
        </w:rPr>
        <w:t>，我所持续在新区范围内开展了扫黑除恶专项工作。对重点机构进行重点巡查，深挖“医疗欺诈、诱导消费、强制消费”或其他影响辖区居民健康权益等违规违法行为案件线索，通过日常监督、不定时巡查、双随机执法等方式进行监管，未发现涉及“医疗欺诈”相关的线索。同时把未取得《医疗机构执业许可证》、未取得《医师资格证书》《医师执业证书》擅自开展诊疗活动作为打击非法行医工作重点，积极联合街道社区工作站、监督协管员在新区范围内开展打击非法行医巡查工作。</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3</w:t>
      </w:r>
      <w:r>
        <w:rPr>
          <w:rFonts w:hint="default" w:eastAsia="仿宋_GB2312" w:cs="楷体_GB2312"/>
          <w:b w:val="0"/>
          <w:bCs/>
          <w:sz w:val="32"/>
          <w:szCs w:val="32"/>
        </w:rPr>
        <w:t>.</w:t>
      </w:r>
      <w:r>
        <w:rPr>
          <w:rFonts w:hint="eastAsia" w:eastAsia="仿宋_GB2312" w:cs="楷体_GB2312"/>
          <w:b w:val="0"/>
          <w:bCs/>
          <w:sz w:val="32"/>
          <w:szCs w:val="32"/>
        </w:rPr>
        <w:t>多向布局医疗机构监管形态，构建健康管理闭环</w:t>
      </w:r>
      <w:r>
        <w:rPr>
          <w:rFonts w:hint="eastAsia" w:eastAsia="仿宋_GB2312" w:cs="楷体_GB2312"/>
          <w:b w:val="0"/>
          <w:bCs/>
          <w:sz w:val="32"/>
          <w:szCs w:val="32"/>
          <w:lang w:eastAsia="zh-CN"/>
        </w:rPr>
        <w:t>。</w:t>
      </w:r>
    </w:p>
    <w:p>
      <w:pPr>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通过现场校验、严格把关，已完成46家医疗机构的“2020-2021”年度的校验工作，并对检查中发现的存在问题提出整改意见。对辖区内录入139系统且正常开展诊疗活动的46家医疗机构开展日常监督检查，监督检查46间次，制作监督文书46套，监督覆盖率为100%。2020年1月1日至2020年11月30日，对持证机构作出行政处罚1宗，共罚款人民币1000元整;对5家持证机构不良执业记分共记9分；对1名医师作出警告的行政处罚，对1名医师不良执业记分共记4分。</w:t>
      </w:r>
    </w:p>
    <w:p>
      <w:pPr>
        <w:spacing w:line="580" w:lineRule="exact"/>
        <w:ind w:firstLine="640" w:firstLineChars="200"/>
        <w:rPr>
          <w:rFonts w:eastAsia="仿宋_GB2312" w:cs="楷体_GB2312"/>
          <w:bCs/>
          <w:sz w:val="32"/>
          <w:szCs w:val="32"/>
        </w:rPr>
      </w:pPr>
      <w:r>
        <w:rPr>
          <w:rFonts w:hint="eastAsia" w:eastAsia="仿宋_GB2312" w:cs="楷体_GB2312"/>
          <w:bCs/>
          <w:sz w:val="32"/>
          <w:szCs w:val="32"/>
        </w:rPr>
        <w:t>（2）打击非法行医巡查工作。我所把未取得《医疗机构执业许可证》行医和未取得《医师资格证书》《医师执业证书》擅自开展诊疗活动作为打击非法行医工作重点，对辖区三个</w:t>
      </w:r>
      <w:r>
        <w:rPr>
          <w:rFonts w:hint="eastAsia" w:eastAsia="仿宋_GB2312" w:cs="楷体_GB2312"/>
          <w:bCs/>
          <w:sz w:val="32"/>
          <w:szCs w:val="32"/>
          <w:lang w:eastAsia="zh-CN"/>
        </w:rPr>
        <w:t>街道</w:t>
      </w:r>
      <w:r>
        <w:rPr>
          <w:rFonts w:hint="eastAsia" w:eastAsia="仿宋_GB2312" w:cs="楷体_GB2312"/>
          <w:bCs/>
          <w:sz w:val="32"/>
          <w:szCs w:val="32"/>
        </w:rPr>
        <w:t>开展打击非法行医巡查工作</w:t>
      </w:r>
      <w:r>
        <w:rPr>
          <w:rFonts w:hint="eastAsia" w:ascii="仿宋_GB2312" w:hAnsi="仿宋_GB2312" w:eastAsia="仿宋_GB2312" w:cs="仿宋_GB2312"/>
          <w:bCs/>
          <w:sz w:val="32"/>
          <w:szCs w:val="32"/>
        </w:rPr>
        <w:t>，2020年共出动执法车辆72车次，执法人员222人次，排查场所285间次</w:t>
      </w:r>
      <w:r>
        <w:rPr>
          <w:rFonts w:hint="eastAsia" w:eastAsia="仿宋_GB2312" w:cs="楷体_GB2312"/>
          <w:bCs/>
          <w:sz w:val="32"/>
          <w:szCs w:val="32"/>
        </w:rPr>
        <w:t>。</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4</w:t>
      </w:r>
      <w:r>
        <w:rPr>
          <w:rFonts w:hint="default" w:eastAsia="仿宋_GB2312" w:cs="楷体_GB2312"/>
          <w:b w:val="0"/>
          <w:bCs/>
          <w:sz w:val="32"/>
          <w:szCs w:val="32"/>
        </w:rPr>
        <w:t>.</w:t>
      </w:r>
      <w:r>
        <w:rPr>
          <w:rFonts w:hint="eastAsia" w:eastAsia="仿宋_GB2312" w:cs="楷体_GB2312"/>
          <w:b w:val="0"/>
          <w:bCs/>
          <w:sz w:val="32"/>
          <w:szCs w:val="32"/>
        </w:rPr>
        <w:t>医疗美容专项整治行动工作</w:t>
      </w:r>
      <w:r>
        <w:rPr>
          <w:rFonts w:hint="eastAsia" w:eastAsia="仿宋_GB2312" w:cs="楷体_GB2312"/>
          <w:b w:val="0"/>
          <w:bCs/>
          <w:sz w:val="32"/>
          <w:szCs w:val="32"/>
          <w:lang w:eastAsia="zh-CN"/>
        </w:rPr>
        <w:t>。</w:t>
      </w:r>
    </w:p>
    <w:p>
      <w:pPr>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根据《市卫生监督局关于印发全市卫生监督系统医疗美容专项整治行动工作方案的通知》深卫监〔2020〕35号的要求，2020年1月1日至8月31日，我所共出动执法车辆69车次、执法人员207人次</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检查医疗机构53间次、生活美容机构120间次、巡查出租屋27间次</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农贸市场1间次，药店69间次</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宾馆酒店6间次，并</w:t>
      </w:r>
      <w:r>
        <w:rPr>
          <w:rFonts w:hint="eastAsia" w:ascii="仿宋_GB2312" w:hAnsi="仿宋_GB2312" w:eastAsia="仿宋_GB2312" w:cs="仿宋_GB2312"/>
          <w:bCs/>
          <w:sz w:val="32"/>
          <w:szCs w:val="32"/>
        </w:rPr>
        <w:t>开展了2个社区网格化管理人员随访工作。</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5</w:t>
      </w:r>
      <w:r>
        <w:rPr>
          <w:rFonts w:hint="default" w:eastAsia="仿宋_GB2312" w:cs="楷体_GB2312"/>
          <w:b w:val="0"/>
          <w:bCs/>
          <w:sz w:val="32"/>
          <w:szCs w:val="32"/>
        </w:rPr>
        <w:t>.</w:t>
      </w:r>
      <w:r>
        <w:rPr>
          <w:rFonts w:hint="eastAsia" w:eastAsia="仿宋_GB2312" w:cs="楷体_GB2312"/>
          <w:b w:val="0"/>
          <w:bCs/>
          <w:sz w:val="32"/>
          <w:szCs w:val="32"/>
        </w:rPr>
        <w:t>统筹公共场所精细化管理，规范多领域监管方向</w:t>
      </w:r>
      <w:r>
        <w:rPr>
          <w:rFonts w:hint="eastAsia" w:eastAsia="仿宋_GB2312" w:cs="楷体_GB2312"/>
          <w:b w:val="0"/>
          <w:bCs/>
          <w:sz w:val="32"/>
          <w:szCs w:val="32"/>
          <w:lang w:eastAsia="zh-CN"/>
        </w:rPr>
        <w:t>。</w:t>
      </w:r>
    </w:p>
    <w:p>
      <w:pPr>
        <w:spacing w:line="580" w:lineRule="exact"/>
        <w:ind w:firstLine="640" w:firstLineChars="200"/>
        <w:rPr>
          <w:rFonts w:hint="eastAsia" w:ascii="仿宋_GB2312" w:hAnsi="仿宋_GB2312" w:eastAsia="仿宋_GB2312" w:cs="仿宋_GB2312"/>
          <w:bCs/>
          <w:sz w:val="32"/>
          <w:szCs w:val="32"/>
        </w:rPr>
      </w:pPr>
      <w:r>
        <w:rPr>
          <w:rFonts w:hint="eastAsia" w:eastAsia="仿宋_GB2312" w:cs="楷体_GB2312"/>
          <w:bCs/>
          <w:sz w:val="32"/>
          <w:szCs w:val="32"/>
        </w:rPr>
        <w:t>（1）</w:t>
      </w:r>
      <w:r>
        <w:rPr>
          <w:rFonts w:hint="eastAsia" w:ascii="仿宋_GB2312" w:hAnsi="仿宋_GB2312" w:eastAsia="仿宋_GB2312" w:cs="仿宋_GB2312"/>
          <w:bCs/>
          <w:sz w:val="32"/>
          <w:szCs w:val="32"/>
        </w:rPr>
        <w:t>量化分级管理工作推进情况。2020年我所全面开展公共场所卫生监督量化分级管理工作。</w:t>
      </w:r>
      <w:r>
        <w:rPr>
          <w:rFonts w:hint="eastAsia" w:ascii="仿宋_GB2312" w:hAnsi="仿宋_GB2312" w:eastAsia="仿宋_GB2312" w:cs="仿宋_GB2312"/>
          <w:bCs/>
          <w:sz w:val="32"/>
          <w:szCs w:val="32"/>
          <w:lang w:val="en-US" w:eastAsia="zh-CN"/>
        </w:rPr>
        <w:t>2020年度</w:t>
      </w:r>
      <w:r>
        <w:rPr>
          <w:rFonts w:hint="eastAsia" w:ascii="仿宋_GB2312" w:hAnsi="仿宋_GB2312" w:eastAsia="仿宋_GB2312" w:cs="仿宋_GB2312"/>
          <w:bCs/>
          <w:sz w:val="32"/>
          <w:szCs w:val="32"/>
        </w:rPr>
        <w:t>新区在经营中的持证公共场所单位共有272家，实量化间数272家，其中A级单位1家，B级单位85家，C级单位186家。</w:t>
      </w:r>
    </w:p>
    <w:p>
      <w:pPr>
        <w:spacing w:line="580" w:lineRule="exact"/>
        <w:ind w:firstLine="640" w:firstLineChars="200"/>
        <w:rPr>
          <w:rFonts w:eastAsia="仿宋_GB2312" w:cs="楷体_GB2312"/>
          <w:bCs/>
          <w:sz w:val="32"/>
          <w:szCs w:val="32"/>
        </w:rPr>
      </w:pPr>
      <w:r>
        <w:rPr>
          <w:rFonts w:hint="eastAsia" w:eastAsia="仿宋_GB2312" w:cs="楷体_GB2312"/>
          <w:bCs/>
          <w:sz w:val="32"/>
          <w:szCs w:val="32"/>
        </w:rPr>
        <w:t>（2）民宿</w:t>
      </w:r>
      <w:r>
        <w:rPr>
          <w:rFonts w:hint="eastAsia" w:ascii="仿宋_GB2312" w:hAnsi="仿宋_GB2312" w:eastAsia="仿宋_GB2312" w:cs="仿宋_GB2312"/>
          <w:bCs/>
          <w:sz w:val="32"/>
          <w:szCs w:val="32"/>
        </w:rPr>
        <w:t>卫生监督工作。2020年我所依据《广东省民宿管理暂行办法》相关规定，对辖区民宿的卫生管理、环境卫生、公共用品用具清洗消毒以及从业人员健康合格证明等内容开展卫生监督巡查工作，现场发放宣传资料800余套</w:t>
      </w:r>
      <w:r>
        <w:rPr>
          <w:rFonts w:hint="eastAsia" w:eastAsia="仿宋_GB2312" w:cs="楷体_GB2312"/>
          <w:bCs/>
          <w:sz w:val="32"/>
          <w:szCs w:val="32"/>
        </w:rPr>
        <w:t>，积极引导民宿经营单位规范卫生操作。结合新冠肺炎疫情防控情况，重点检查民宿场所的人员管控、场所管控、防控物资储备、公共用品及物体表面消毒工作、空调系统的清洗消毒等内容，并向民宿经营者发放疫情防控资料，指导民宿场所切实做好新冠肺炎疫情常态化防控工作，持续巩固防控成果，防止疫情新燃点。</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6</w:t>
      </w:r>
      <w:r>
        <w:rPr>
          <w:rFonts w:hint="default" w:eastAsia="仿宋_GB2312" w:cs="楷体_GB2312"/>
          <w:b w:val="0"/>
          <w:bCs/>
          <w:sz w:val="32"/>
          <w:szCs w:val="32"/>
        </w:rPr>
        <w:t>.</w:t>
      </w:r>
      <w:r>
        <w:rPr>
          <w:rFonts w:hint="eastAsia" w:eastAsia="仿宋_GB2312" w:cs="楷体_GB2312"/>
          <w:b w:val="0"/>
          <w:bCs/>
          <w:sz w:val="32"/>
          <w:szCs w:val="32"/>
        </w:rPr>
        <w:t>紧盯学校关键领域，护航学校健康保障</w:t>
      </w:r>
      <w:r>
        <w:rPr>
          <w:rFonts w:hint="eastAsia" w:eastAsia="仿宋_GB2312" w:cs="楷体_GB2312"/>
          <w:b w:val="0"/>
          <w:bCs/>
          <w:sz w:val="32"/>
          <w:szCs w:val="32"/>
          <w:lang w:eastAsia="zh-CN"/>
        </w:rPr>
        <w:t>。</w:t>
      </w:r>
    </w:p>
    <w:p>
      <w:pPr>
        <w:spacing w:line="580" w:lineRule="exact"/>
        <w:ind w:firstLine="640" w:firstLineChars="200"/>
        <w:rPr>
          <w:rFonts w:eastAsia="仿宋_GB2312" w:cs="楷体_GB2312"/>
          <w:bCs/>
          <w:sz w:val="32"/>
          <w:szCs w:val="32"/>
        </w:rPr>
      </w:pPr>
      <w:r>
        <w:rPr>
          <w:rFonts w:hint="eastAsia" w:ascii="仿宋_GB2312" w:hAnsi="仿宋_GB2312" w:eastAsia="仿宋_GB2312" w:cs="仿宋_GB2312"/>
          <w:bCs/>
          <w:sz w:val="32"/>
          <w:szCs w:val="32"/>
        </w:rPr>
        <w:t>2020年对辖区内学校、幼儿园开展教学环境卫生、饮用水卫生和传染病防控管理等学校卫生监督检查和控烟执法检查，监督覆盖率100%。同时对辖区内学校、托幼机构开展了秋冬季学校、托幼机构疫情防控以及生活饮用水卫生监督指导工作，重点加强诺如病毒等肠道传染病防控工作的防控管理。根据“深卫监〔2020〕16号”文件的要求，参照“深教〔2020〕45号、深学生返校工作专班〔2020〕号”文件的要求对辖区内31所小学、初中、高中、托幼机构开展了新型冠状病毒肺炎疫情防控专项监督检查,共检查学校、托幼机构76间次，出动监督员251人次。对发现问题的学校，</w:t>
      </w:r>
      <w:r>
        <w:rPr>
          <w:rFonts w:hint="eastAsia" w:eastAsia="仿宋_GB2312" w:cs="楷体_GB2312"/>
          <w:bCs/>
          <w:sz w:val="32"/>
          <w:szCs w:val="32"/>
        </w:rPr>
        <w:t>现场下达监督意见书，指导督促学校进行整改，及时跟进整改情况,进一步强化新区学校、幼儿园春季开学后的传染病防控和医疗保健措施，全面落实饮用水、教学环境、生活设施等方面的卫生监督工作，有效预防学校突发公共卫生事件的发生。</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7</w:t>
      </w:r>
      <w:r>
        <w:rPr>
          <w:rFonts w:hint="default" w:eastAsia="仿宋_GB2312" w:cs="楷体_GB2312"/>
          <w:b w:val="0"/>
          <w:bCs/>
          <w:sz w:val="32"/>
          <w:szCs w:val="32"/>
        </w:rPr>
        <w:t>.</w:t>
      </w:r>
      <w:r>
        <w:rPr>
          <w:rFonts w:hint="eastAsia" w:eastAsia="仿宋_GB2312" w:cs="楷体_GB2312"/>
          <w:b w:val="0"/>
          <w:bCs/>
          <w:sz w:val="32"/>
          <w:szCs w:val="32"/>
        </w:rPr>
        <w:t>巧用科技手段，提升监管效能</w:t>
      </w:r>
      <w:r>
        <w:rPr>
          <w:rFonts w:hint="eastAsia" w:eastAsia="仿宋_GB2312" w:cs="楷体_GB2312"/>
          <w:b w:val="0"/>
          <w:bCs/>
          <w:sz w:val="32"/>
          <w:szCs w:val="32"/>
          <w:lang w:eastAsia="zh-CN"/>
        </w:rPr>
        <w:t>。</w:t>
      </w:r>
    </w:p>
    <w:p>
      <w:pPr>
        <w:spacing w:line="580" w:lineRule="exact"/>
        <w:ind w:firstLine="640" w:firstLineChars="200"/>
        <w:rPr>
          <w:rFonts w:eastAsia="仿宋_GB2312" w:cs="楷体_GB2312"/>
          <w:bCs/>
          <w:sz w:val="32"/>
          <w:szCs w:val="32"/>
        </w:rPr>
      </w:pPr>
      <w:r>
        <w:rPr>
          <w:rFonts w:hint="eastAsia" w:eastAsia="仿宋_GB2312" w:cs="楷体_GB2312"/>
          <w:bCs/>
          <w:sz w:val="32"/>
          <w:szCs w:val="32"/>
        </w:rPr>
        <w:t>为贯彻落实国家及广东省卫生健康委关于进一步加强集中式供水单位卫生监管的文件精神，</w:t>
      </w:r>
      <w:r>
        <w:rPr>
          <w:rFonts w:hint="eastAsia" w:ascii="仿宋_GB2312" w:hAnsi="仿宋_GB2312" w:eastAsia="仿宋_GB2312" w:cs="仿宋_GB2312"/>
          <w:bCs/>
          <w:sz w:val="32"/>
          <w:szCs w:val="32"/>
        </w:rPr>
        <w:t>根据《2020年深圳市生活饮用水及涉水产品卫生重点监督检查实施方案</w:t>
      </w:r>
      <w:r>
        <w:rPr>
          <w:rFonts w:hint="eastAsia" w:eastAsia="仿宋_GB2312" w:cs="楷体_GB2312"/>
          <w:bCs/>
          <w:sz w:val="32"/>
          <w:szCs w:val="32"/>
        </w:rPr>
        <w:t>》，以及深圳市卫生健康委员会关于供水单位创新监管工作的要求，建立供水单位微信群实时报送水质监测数据的工作模式。供水单位每日、每周、每月将水质监测结果上报至微信群，由大鹏新区卫生监督所监督员实时查看水质检测结果，并对近期水质检测变化较大的数据和即将发生的恶劣天气提出相应的建议及防控措施。</w:t>
      </w:r>
    </w:p>
    <w:p>
      <w:pPr>
        <w:spacing w:line="580" w:lineRule="exact"/>
        <w:ind w:left="420" w:leftChars="200" w:firstLine="320" w:firstLineChars="100"/>
        <w:rPr>
          <w:rFonts w:hint="eastAsia" w:eastAsia="仿宋_GB2312" w:cs="楷体_GB2312"/>
          <w:b w:val="0"/>
          <w:bCs/>
          <w:sz w:val="32"/>
          <w:szCs w:val="32"/>
        </w:rPr>
      </w:pPr>
      <w:r>
        <w:rPr>
          <w:rFonts w:hint="eastAsia" w:eastAsia="仿宋_GB2312" w:cs="楷体_GB2312"/>
          <w:b w:val="0"/>
          <w:bCs/>
          <w:sz w:val="32"/>
          <w:szCs w:val="32"/>
        </w:rPr>
        <w:t>8</w:t>
      </w:r>
      <w:r>
        <w:rPr>
          <w:rFonts w:hint="default" w:eastAsia="仿宋_GB2312" w:cs="楷体_GB2312"/>
          <w:b w:val="0"/>
          <w:bCs/>
          <w:sz w:val="32"/>
          <w:szCs w:val="32"/>
        </w:rPr>
        <w:t>.</w:t>
      </w:r>
      <w:r>
        <w:rPr>
          <w:rFonts w:hint="eastAsia" w:eastAsia="仿宋_GB2312" w:cs="楷体_GB2312"/>
          <w:b w:val="0"/>
          <w:bCs/>
          <w:sz w:val="32"/>
          <w:szCs w:val="32"/>
        </w:rPr>
        <w:t>多角度拓宽监管思路，奏响职业病防治强音</w:t>
      </w:r>
      <w:r>
        <w:rPr>
          <w:rFonts w:hint="eastAsia" w:eastAsia="仿宋_GB2312" w:cs="楷体_GB2312"/>
          <w:b w:val="0"/>
          <w:bCs/>
          <w:sz w:val="32"/>
          <w:szCs w:val="32"/>
          <w:lang w:eastAsia="zh-CN"/>
        </w:rPr>
        <w:t>。</w:t>
      </w:r>
    </w:p>
    <w:p>
      <w:pPr>
        <w:tabs>
          <w:tab w:val="left" w:pos="0"/>
        </w:tabs>
        <w:spacing w:line="580" w:lineRule="exact"/>
        <w:ind w:firstLine="739" w:firstLineChars="23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2020年度共监督检查存在职业病危害因素企业130家次，发出执法文书122份，行政处罚12宗，其中一般程序2宗，罚款金额共计1.2万元。我所全面</w:t>
      </w:r>
      <w:r>
        <w:rPr>
          <w:rFonts w:hint="eastAsia" w:ascii="仿宋_GB2312" w:hAnsi="仿宋_GB2312" w:eastAsia="仿宋_GB2312" w:cs="仿宋_GB2312"/>
          <w:bCs/>
          <w:sz w:val="32"/>
          <w:szCs w:val="32"/>
          <w:highlight w:val="none"/>
        </w:rPr>
        <w:t>开展</w:t>
      </w:r>
      <w:r>
        <w:rPr>
          <w:rFonts w:hint="eastAsia" w:ascii="仿宋_GB2312" w:hAnsi="仿宋_GB2312" w:eastAsia="仿宋_GB2312" w:cs="仿宋_GB2312"/>
          <w:bCs/>
          <w:sz w:val="32"/>
          <w:szCs w:val="32"/>
        </w:rPr>
        <w:t>矿山、冶金、化工等重点行业领域尘毒危害专项治理。通过前期摸排工作，确定我新区存在重点化工行业企业3家、建材行业企业4家，从业人数430人，接触尘毒危害人数162人。现7家企业的职业病危害项目申报率100%，职业病危害因素定期检测率达到100%，接触职业病危害的劳动者在岗期间职业健康</w:t>
      </w:r>
      <w:r>
        <w:rPr>
          <w:rFonts w:hint="eastAsia" w:eastAsia="仿宋_GB2312" w:cs="楷体_GB2312"/>
          <w:bCs/>
          <w:sz w:val="32"/>
          <w:szCs w:val="32"/>
        </w:rPr>
        <w:t>检查率</w:t>
      </w:r>
      <w:r>
        <w:rPr>
          <w:rFonts w:hint="eastAsia" w:ascii="仿宋_GB2312" w:hAnsi="仿宋_GB2312" w:eastAsia="仿宋_GB2312" w:cs="仿宋_GB2312"/>
          <w:bCs/>
          <w:sz w:val="32"/>
          <w:szCs w:val="32"/>
        </w:rPr>
        <w:t>达到100%，用人单位主要负责人、职业健康管理人员和接触职业病危害因素的劳动者培训率达到100%。此外，根据《大鹏新区尘肺病防治攻坚行动实施方案》的工作要求，我所继续推进尘肺病攻坚行动，确定辖区内共有粉尘危害企业11家，在职员工总数2088人、</w:t>
      </w:r>
      <w:r>
        <w:rPr>
          <w:rFonts w:hint="eastAsia" w:ascii="仿宋_GB2312" w:hAnsi="仿宋_GB2312" w:eastAsia="仿宋_GB2312" w:cs="仿宋_GB2312"/>
          <w:bCs/>
          <w:sz w:val="32"/>
          <w:szCs w:val="32"/>
          <w:highlight w:val="none"/>
        </w:rPr>
        <w:t>接害总人数387人、粉尘接触总人数184人。目前辖区内粉尘危害企业粉尘危害申报率、粉尘浓度定期检测率、接尘劳动者</w:t>
      </w:r>
      <w:r>
        <w:rPr>
          <w:rFonts w:hint="eastAsia" w:ascii="仿宋_GB2312" w:hAnsi="仿宋_GB2312" w:eastAsia="仿宋_GB2312" w:cs="仿宋_GB2312"/>
          <w:bCs/>
          <w:sz w:val="32"/>
          <w:szCs w:val="32"/>
        </w:rPr>
        <w:t>在岗期间职业健康检查率、主要负责人、职业健康管理人员和劳动者培训率、用人单位监督覆盖率均达100%，粉尘危害企业职业健康违法违规行为明显减少。</w:t>
      </w:r>
    </w:p>
    <w:p>
      <w:pPr>
        <w:spacing w:line="580" w:lineRule="exact"/>
        <w:ind w:left="420" w:leftChars="200" w:firstLine="160" w:firstLineChars="50"/>
        <w:rPr>
          <w:rFonts w:hint="eastAsia" w:eastAsia="仿宋_GB2312" w:cs="楷体_GB2312"/>
          <w:b w:val="0"/>
          <w:bCs/>
          <w:sz w:val="32"/>
          <w:szCs w:val="32"/>
        </w:rPr>
      </w:pPr>
      <w:r>
        <w:rPr>
          <w:rFonts w:hint="eastAsia" w:eastAsia="仿宋_GB2312" w:cs="楷体_GB2312"/>
          <w:b w:val="0"/>
          <w:bCs/>
          <w:sz w:val="32"/>
          <w:szCs w:val="32"/>
        </w:rPr>
        <w:t>9</w:t>
      </w:r>
      <w:r>
        <w:rPr>
          <w:rFonts w:hint="default" w:eastAsia="仿宋_GB2312" w:cs="楷体_GB2312"/>
          <w:b w:val="0"/>
          <w:bCs/>
          <w:sz w:val="32"/>
          <w:szCs w:val="32"/>
        </w:rPr>
        <w:t>.</w:t>
      </w:r>
      <w:r>
        <w:rPr>
          <w:rFonts w:hint="eastAsia" w:eastAsia="仿宋_GB2312" w:cs="楷体_GB2312"/>
          <w:b w:val="0"/>
          <w:bCs/>
          <w:sz w:val="32"/>
          <w:szCs w:val="32"/>
        </w:rPr>
        <w:t>突出传染病重点领域防控，统筹联防联控监管</w:t>
      </w:r>
      <w:r>
        <w:rPr>
          <w:rFonts w:hint="eastAsia" w:eastAsia="仿宋_GB2312" w:cs="楷体_GB2312"/>
          <w:b w:val="0"/>
          <w:bCs/>
          <w:sz w:val="32"/>
          <w:szCs w:val="32"/>
          <w:lang w:eastAsia="zh-CN"/>
        </w:rPr>
        <w:t>。</w:t>
      </w:r>
    </w:p>
    <w:p>
      <w:pPr>
        <w:spacing w:line="580" w:lineRule="exact"/>
        <w:ind w:firstLine="579" w:firstLineChars="18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年度对辖区医疗卫生机构、学校和托幼机构传染病监督检查78家，共监督检查82家次，制作文书82套，监督覆盖率达100%。根据上级文件要求，我所全面开展辖区内医疗机构发热门诊、预检分诊、人员培训和职业安全防护、消毒隔离措施落实、医疗废物处置专项执法检查工作、三家公立医院医疗机构疫情防控工作专项督导检查、辖区内9家病原微生物实验室生物安全督导监督检查等专项工作、辖区学校、托幼机构消毒产品使用专项工作等专项监督检查，监督覆盖率为100%。</w:t>
      </w:r>
    </w:p>
    <w:p>
      <w:pPr>
        <w:spacing w:line="580" w:lineRule="exact"/>
        <w:ind w:firstLine="640" w:firstLineChars="200"/>
        <w:rPr>
          <w:rFonts w:hint="eastAsia" w:eastAsia="仿宋_GB2312" w:cs="楷体_GB2312"/>
          <w:bCs/>
          <w:sz w:val="32"/>
          <w:szCs w:val="32"/>
          <w:lang w:eastAsia="zh-CN"/>
        </w:rPr>
      </w:pPr>
      <w:r>
        <w:rPr>
          <w:rFonts w:hint="eastAsia" w:eastAsia="仿宋_GB2312" w:cs="楷体_GB2312"/>
          <w:b w:val="0"/>
          <w:bCs/>
          <w:sz w:val="32"/>
          <w:szCs w:val="32"/>
        </w:rPr>
        <w:t>10</w:t>
      </w:r>
      <w:r>
        <w:rPr>
          <w:rFonts w:hint="default" w:eastAsia="仿宋_GB2312" w:cs="楷体_GB2312"/>
          <w:b w:val="0"/>
          <w:bCs/>
          <w:sz w:val="32"/>
          <w:szCs w:val="32"/>
        </w:rPr>
        <w:t>.</w:t>
      </w:r>
      <w:r>
        <w:rPr>
          <w:rFonts w:hint="eastAsia" w:eastAsia="仿宋_GB2312" w:cs="楷体_GB2312"/>
          <w:b w:val="0"/>
          <w:bCs/>
          <w:sz w:val="32"/>
          <w:szCs w:val="32"/>
        </w:rPr>
        <w:t>加强素质建设，提高履职能力</w:t>
      </w:r>
      <w:r>
        <w:rPr>
          <w:rFonts w:hint="eastAsia" w:eastAsia="仿宋_GB2312" w:cs="楷体_GB2312"/>
          <w:b w:val="0"/>
          <w:bCs/>
          <w:sz w:val="32"/>
          <w:szCs w:val="32"/>
          <w:lang w:eastAsia="zh-CN"/>
        </w:rPr>
        <w:t>。</w:t>
      </w:r>
    </w:p>
    <w:p>
      <w:pPr>
        <w:spacing w:line="580" w:lineRule="exact"/>
        <w:ind w:firstLine="736" w:firstLineChars="230"/>
        <w:rPr>
          <w:rFonts w:hint="eastAsia" w:ascii="仿宋_GB2312" w:hAnsi="仿宋_GB2312" w:eastAsia="仿宋_GB2312" w:cs="仿宋_GB2312"/>
          <w:bCs/>
          <w:sz w:val="32"/>
          <w:szCs w:val="32"/>
        </w:rPr>
      </w:pPr>
      <w:r>
        <w:rPr>
          <w:rFonts w:hint="eastAsia" w:eastAsia="仿宋_GB2312" w:cs="楷体_GB2312"/>
          <w:bCs/>
          <w:sz w:val="32"/>
          <w:szCs w:val="32"/>
        </w:rPr>
        <w:t>以专业型、复合型高素质人才培养为目标，采取如卫生行政执法文书知识培训、外出培训交流</w:t>
      </w:r>
      <w:r>
        <w:rPr>
          <w:rFonts w:hint="eastAsia" w:eastAsia="仿宋_GB2312" w:cs="楷体_GB2312"/>
          <w:bCs/>
          <w:sz w:val="32"/>
          <w:szCs w:val="32"/>
          <w:highlight w:val="none"/>
        </w:rPr>
        <w:t>等方式</w:t>
      </w:r>
      <w:r>
        <w:rPr>
          <w:rFonts w:hint="eastAsia" w:eastAsia="仿宋_GB2312" w:cs="楷体_GB2312"/>
          <w:bCs/>
          <w:sz w:val="32"/>
          <w:szCs w:val="32"/>
          <w:highlight w:val="none"/>
          <w:lang w:eastAsia="zh-CN"/>
        </w:rPr>
        <w:t>，</w:t>
      </w:r>
      <w:r>
        <w:rPr>
          <w:rFonts w:hint="eastAsia" w:eastAsia="仿宋_GB2312" w:cs="楷体_GB2312"/>
          <w:bCs/>
          <w:sz w:val="32"/>
          <w:szCs w:val="32"/>
          <w:highlight w:val="none"/>
        </w:rPr>
        <w:t>多形式</w:t>
      </w:r>
      <w:r>
        <w:rPr>
          <w:rFonts w:hint="eastAsia" w:eastAsia="仿宋_GB2312" w:cs="楷体_GB2312"/>
          <w:bCs/>
          <w:sz w:val="32"/>
          <w:szCs w:val="32"/>
        </w:rPr>
        <w:t>、多途径开展对监督员的业务培训，全面提升执法能力和服务水平。</w:t>
      </w:r>
      <w:r>
        <w:rPr>
          <w:rFonts w:hint="eastAsia" w:ascii="仿宋_GB2312" w:hAnsi="仿宋_GB2312" w:eastAsia="仿宋_GB2312" w:cs="仿宋_GB2312"/>
          <w:bCs/>
          <w:sz w:val="32"/>
          <w:szCs w:val="32"/>
        </w:rPr>
        <w:t>2020年我所共开展各类培训1445学时，外出培训456学时，共培训1901学时，卫生监督员人均培训学时54学时。通过多种方式的培训，大大提高了全体卫生监督人员的业务水平和执法能力。我所卫生监督员在国家级期刊上公开发表了6篇学术论文，与2019年5篇，2018年4篇的数据相比，论文发表数量逐年提高。</w:t>
      </w:r>
    </w:p>
    <w:p>
      <w:pPr>
        <w:spacing w:line="580" w:lineRule="exact"/>
        <w:ind w:left="420" w:leftChars="200" w:firstLine="160" w:firstLineChars="50"/>
        <w:rPr>
          <w:rFonts w:hint="eastAsia" w:eastAsia="仿宋_GB2312" w:cs="楷体_GB2312"/>
          <w:b w:val="0"/>
          <w:bCs/>
          <w:sz w:val="32"/>
          <w:szCs w:val="32"/>
        </w:rPr>
      </w:pPr>
      <w:r>
        <w:rPr>
          <w:rFonts w:hint="eastAsia" w:eastAsia="仿宋_GB2312" w:cs="楷体_GB2312"/>
          <w:b w:val="0"/>
          <w:bCs/>
          <w:sz w:val="32"/>
          <w:szCs w:val="32"/>
        </w:rPr>
        <w:t>11</w:t>
      </w:r>
      <w:r>
        <w:rPr>
          <w:rFonts w:hint="default" w:eastAsia="仿宋_GB2312" w:cs="楷体_GB2312"/>
          <w:b w:val="0"/>
          <w:bCs/>
          <w:sz w:val="32"/>
          <w:szCs w:val="32"/>
        </w:rPr>
        <w:t>.</w:t>
      </w:r>
      <w:r>
        <w:rPr>
          <w:rFonts w:hint="eastAsia" w:eastAsia="仿宋_GB2312" w:cs="楷体_GB2312"/>
          <w:b w:val="0"/>
          <w:bCs/>
          <w:sz w:val="32"/>
          <w:szCs w:val="32"/>
        </w:rPr>
        <w:t>稽查工作机制日臻完善，严格防范执法风险</w:t>
      </w:r>
      <w:r>
        <w:rPr>
          <w:rFonts w:hint="eastAsia" w:eastAsia="仿宋_GB2312" w:cs="楷体_GB2312"/>
          <w:b w:val="0"/>
          <w:bCs/>
          <w:sz w:val="32"/>
          <w:szCs w:val="32"/>
          <w:lang w:eastAsia="zh-CN"/>
        </w:rPr>
        <w:t>。</w:t>
      </w:r>
    </w:p>
    <w:p>
      <w:pPr>
        <w:spacing w:line="580" w:lineRule="exact"/>
        <w:ind w:firstLine="579" w:firstLineChars="181"/>
        <w:rPr>
          <w:rFonts w:eastAsia="仿宋_GB2312" w:cs="楷体_GB2312"/>
          <w:bCs/>
          <w:sz w:val="32"/>
          <w:szCs w:val="32"/>
        </w:rPr>
      </w:pPr>
      <w:r>
        <w:rPr>
          <w:rFonts w:hint="eastAsia" w:ascii="仿宋_GB2312" w:hAnsi="仿宋_GB2312" w:eastAsia="仿宋_GB2312" w:cs="仿宋_GB2312"/>
          <w:bCs/>
          <w:sz w:val="32"/>
          <w:szCs w:val="32"/>
          <w:lang w:eastAsia="zh-CN"/>
        </w:rPr>
        <w:t>截至</w:t>
      </w:r>
      <w:r>
        <w:rPr>
          <w:rFonts w:hint="eastAsia" w:ascii="仿宋_GB2312" w:hAnsi="仿宋_GB2312" w:eastAsia="仿宋_GB2312" w:cs="仿宋_GB2312"/>
          <w:bCs/>
          <w:sz w:val="32"/>
          <w:szCs w:val="32"/>
        </w:rPr>
        <w:t>2020年12月9日本年度共完成卫生行政处罚案件81宗，人均办案数是5.79宗。其中罚款共40宗，罚款金额40100元。无听证、行政复议或行政诉讼案件。2020年共受理各类群众投诉11宗，全部均已办结，并及时反馈调查处理意见，信访投诉人均对处理结果满意，无缠访、闹访等情况发生。今年上半年市卫生监督局组织开展信访案件评查，我所得分为99分。</w:t>
      </w:r>
    </w:p>
    <w:p>
      <w:pPr>
        <w:spacing w:line="580" w:lineRule="exact"/>
        <w:ind w:left="420" w:leftChars="200" w:firstLine="160" w:firstLineChars="50"/>
        <w:rPr>
          <w:rFonts w:hint="eastAsia" w:eastAsia="仿宋_GB2312" w:cs="楷体_GB2312"/>
          <w:b w:val="0"/>
          <w:bCs/>
          <w:sz w:val="32"/>
          <w:szCs w:val="32"/>
        </w:rPr>
      </w:pPr>
      <w:r>
        <w:rPr>
          <w:rFonts w:hint="eastAsia" w:eastAsia="仿宋_GB2312" w:cs="楷体_GB2312"/>
          <w:b w:val="0"/>
          <w:bCs/>
          <w:sz w:val="32"/>
          <w:szCs w:val="32"/>
        </w:rPr>
        <w:t>12</w:t>
      </w:r>
      <w:r>
        <w:rPr>
          <w:rFonts w:hint="default" w:eastAsia="仿宋_GB2312" w:cs="楷体_GB2312"/>
          <w:b w:val="0"/>
          <w:bCs/>
          <w:sz w:val="32"/>
          <w:szCs w:val="32"/>
        </w:rPr>
        <w:t>.</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
        </w:rPr>
        <w:t>双随机、一公开</w:t>
      </w:r>
      <w:r>
        <w:rPr>
          <w:rFonts w:hint="eastAsia" w:ascii="仿宋_GB2312" w:hAnsi="仿宋_GB2312" w:eastAsia="仿宋_GB2312" w:cs="仿宋_GB2312"/>
          <w:sz w:val="32"/>
          <w:szCs w:val="32"/>
        </w:rPr>
        <w:t>”</w:t>
      </w:r>
      <w:r>
        <w:rPr>
          <w:rFonts w:hint="eastAsia" w:eastAsia="仿宋_GB2312" w:cs="楷体_GB2312"/>
          <w:b w:val="0"/>
          <w:bCs/>
          <w:sz w:val="32"/>
          <w:szCs w:val="32"/>
        </w:rPr>
        <w:t>工作</w:t>
      </w:r>
      <w:r>
        <w:rPr>
          <w:rFonts w:hint="eastAsia" w:eastAsia="仿宋_GB2312" w:cs="楷体_GB2312"/>
          <w:b w:val="0"/>
          <w:bCs/>
          <w:sz w:val="32"/>
          <w:szCs w:val="32"/>
          <w:lang w:eastAsia="zh-CN"/>
        </w:rPr>
        <w:t>。</w:t>
      </w:r>
    </w:p>
    <w:p>
      <w:pPr>
        <w:spacing w:line="58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全年国抽任务54个，已完成54个，</w:t>
      </w:r>
      <w:r>
        <w:rPr>
          <w:rFonts w:hint="eastAsia" w:ascii="仿宋_GB2312" w:hAnsi="仿宋_GB2312" w:eastAsia="仿宋_GB2312" w:cs="仿宋_GB2312"/>
          <w:bCs/>
          <w:sz w:val="32"/>
          <w:szCs w:val="32"/>
          <w:highlight w:val="none"/>
        </w:rPr>
        <w:t>完成率81.48%，完结率100%。</w:t>
      </w:r>
      <w:r>
        <w:rPr>
          <w:rFonts w:hint="eastAsia" w:ascii="仿宋_GB2312" w:hAnsi="仿宋_GB2312" w:eastAsia="仿宋_GB2312" w:cs="仿宋_GB2312"/>
          <w:bCs/>
          <w:sz w:val="32"/>
          <w:szCs w:val="32"/>
        </w:rPr>
        <w:t>行政处罚11宗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简易程序9宗、一般程序2宗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罚款人民币1000元，并按时将检查结果于大鹏新区政府在线进行公示。2020年区抽任务52个，已完成52个，完成率96.15%；发现问题立案处罚11宗，共罚款人民币6000元，并按时将检查结果于大鹏新区政府在线进行公示。</w:t>
      </w:r>
    </w:p>
    <w:p>
      <w:pPr>
        <w:spacing w:line="580" w:lineRule="exact"/>
        <w:ind w:firstLine="640" w:firstLineChars="200"/>
        <w:rPr>
          <w:rFonts w:hint="eastAsia" w:eastAsia="仿宋_GB2312" w:cs="楷体_GB2312"/>
          <w:b w:val="0"/>
          <w:bCs/>
          <w:sz w:val="32"/>
          <w:szCs w:val="32"/>
        </w:rPr>
      </w:pPr>
      <w:r>
        <w:rPr>
          <w:rFonts w:hint="eastAsia" w:eastAsia="仿宋_GB2312" w:cs="楷体_GB2312"/>
          <w:b w:val="0"/>
          <w:bCs/>
          <w:sz w:val="32"/>
          <w:szCs w:val="32"/>
        </w:rPr>
        <w:t>13</w:t>
      </w:r>
      <w:r>
        <w:rPr>
          <w:rFonts w:hint="default" w:eastAsia="仿宋_GB2312" w:cs="楷体_GB2312"/>
          <w:b w:val="0"/>
          <w:bCs/>
          <w:sz w:val="32"/>
          <w:szCs w:val="32"/>
        </w:rPr>
        <w:t>.</w:t>
      </w:r>
      <w:r>
        <w:rPr>
          <w:rFonts w:hint="eastAsia" w:eastAsia="仿宋_GB2312" w:cs="楷体_GB2312"/>
          <w:b w:val="0"/>
          <w:bCs/>
          <w:sz w:val="32"/>
          <w:szCs w:val="32"/>
        </w:rPr>
        <w:t>重大活动保障</w:t>
      </w:r>
      <w:r>
        <w:rPr>
          <w:rFonts w:hint="eastAsia" w:eastAsia="仿宋_GB2312" w:cs="楷体_GB2312"/>
          <w:b w:val="0"/>
          <w:bCs/>
          <w:sz w:val="32"/>
          <w:szCs w:val="32"/>
          <w:lang w:eastAsia="zh-CN"/>
        </w:rPr>
        <w:t>。</w:t>
      </w:r>
    </w:p>
    <w:p>
      <w:pPr>
        <w:tabs>
          <w:tab w:val="left" w:pos="0"/>
        </w:tabs>
        <w:spacing w:line="580" w:lineRule="exact"/>
        <w:ind w:firstLine="640" w:firstLineChars="200"/>
        <w:rPr>
          <w:rFonts w:eastAsia="仿宋_GB2312" w:cs="楷体_GB2312"/>
          <w:bCs/>
          <w:sz w:val="32"/>
          <w:szCs w:val="32"/>
        </w:rPr>
      </w:pPr>
      <w:r>
        <w:rPr>
          <w:rFonts w:hint="eastAsia" w:ascii="仿宋_GB2312" w:hAnsi="仿宋_GB2312" w:eastAsia="仿宋_GB2312" w:cs="仿宋_GB2312"/>
          <w:bCs/>
          <w:sz w:val="32"/>
          <w:szCs w:val="32"/>
        </w:rPr>
        <w:t>我所共出动执法车22车次、监督人员58人次、监督检查相关场所11间次，2020年我所完成6个卫生监督保障任务,各项保障活动均制定保障方案，对辖区指定单位和区域开展重点监督的方式，发现问题督促整改、跟踪落实到位，确保了各项重大活动的顺利开展。在市卫生监督局关于2020年11月全市卫生监督应急和重大活动保障培训班中，我所参加的卫生监督员满分率100%，并列全市第一</w:t>
      </w:r>
      <w:r>
        <w:rPr>
          <w:rFonts w:hint="eastAsia" w:eastAsia="仿宋_GB2312" w:cs="楷体_GB2312"/>
          <w:bCs/>
          <w:sz w:val="32"/>
          <w:szCs w:val="32"/>
        </w:rPr>
        <w:t>。</w:t>
      </w:r>
    </w:p>
    <w:p>
      <w:pPr>
        <w:spacing w:line="580" w:lineRule="exact"/>
        <w:ind w:left="420" w:leftChars="200" w:firstLine="160" w:firstLineChars="50"/>
        <w:rPr>
          <w:rFonts w:hint="eastAsia" w:eastAsia="仿宋_GB2312" w:cs="楷体_GB2312"/>
          <w:b w:val="0"/>
          <w:bCs/>
          <w:sz w:val="32"/>
          <w:szCs w:val="32"/>
        </w:rPr>
      </w:pPr>
      <w:r>
        <w:rPr>
          <w:rFonts w:hint="eastAsia" w:eastAsia="仿宋_GB2312" w:cs="楷体_GB2312"/>
          <w:b w:val="0"/>
          <w:bCs/>
          <w:sz w:val="32"/>
          <w:szCs w:val="32"/>
        </w:rPr>
        <w:t>14</w:t>
      </w:r>
      <w:r>
        <w:rPr>
          <w:rFonts w:hint="default" w:eastAsia="仿宋_GB2312" w:cs="楷体_GB2312"/>
          <w:b w:val="0"/>
          <w:bCs/>
          <w:sz w:val="32"/>
          <w:szCs w:val="32"/>
        </w:rPr>
        <w:t>.</w:t>
      </w:r>
      <w:r>
        <w:rPr>
          <w:rFonts w:hint="eastAsia" w:eastAsia="仿宋_GB2312" w:cs="楷体_GB2312"/>
          <w:b w:val="0"/>
          <w:bCs/>
          <w:sz w:val="32"/>
          <w:szCs w:val="32"/>
        </w:rPr>
        <w:t>严把卫生许可质量，提高整体许可水平</w:t>
      </w:r>
      <w:r>
        <w:rPr>
          <w:rFonts w:hint="eastAsia" w:eastAsia="仿宋_GB2312" w:cs="楷体_GB2312"/>
          <w:b w:val="0"/>
          <w:bCs/>
          <w:sz w:val="32"/>
          <w:szCs w:val="32"/>
          <w:lang w:eastAsia="zh-CN"/>
        </w:rPr>
        <w:t>。</w:t>
      </w:r>
    </w:p>
    <w:p>
      <w:pPr>
        <w:spacing w:line="580" w:lineRule="exact"/>
        <w:ind w:firstLine="640" w:firstLineChars="200"/>
        <w:rPr>
          <w:rFonts w:eastAsia="仿宋_GB2312" w:cs="楷体_GB2312"/>
          <w:b/>
          <w:sz w:val="32"/>
          <w:szCs w:val="32"/>
        </w:rPr>
      </w:pPr>
      <w:r>
        <w:rPr>
          <w:rFonts w:hint="eastAsia" w:ascii="仿宋_GB2312" w:hAnsi="仿宋_GB2312" w:eastAsia="仿宋_GB2312" w:cs="仿宋_GB2312"/>
          <w:bCs/>
          <w:sz w:val="32"/>
          <w:szCs w:val="32"/>
        </w:rPr>
        <w:t>2020年1月至2020年11月30日，我区受理卫生行政许可业务共218宗。制作公共场所行政许可申请受理通知书和送达回执140套、准予行政许可决定书和送达回执116套、卫生许可证注销通知书和送达回执24套</w:t>
      </w:r>
      <w:r>
        <w:rPr>
          <w:rFonts w:hint="eastAsia" w:eastAsia="仿宋_GB2312" w:cs="楷体_GB2312"/>
          <w:bCs/>
          <w:sz w:val="32"/>
          <w:szCs w:val="32"/>
        </w:rPr>
        <w:t>。</w:t>
      </w:r>
    </w:p>
    <w:p>
      <w:pPr>
        <w:spacing w:line="580" w:lineRule="exact"/>
        <w:ind w:firstLine="640" w:firstLineChars="200"/>
        <w:rPr>
          <w:rFonts w:ascii="楷体_GB2312" w:hAnsi="楷体" w:eastAsia="楷体_GB2312"/>
          <w:b/>
          <w:sz w:val="32"/>
          <w:szCs w:val="32"/>
        </w:rPr>
      </w:pPr>
      <w:r>
        <w:rPr>
          <w:rFonts w:hint="eastAsia" w:ascii="楷体_GB2312" w:hAnsi="楷体" w:eastAsia="楷体_GB2312"/>
          <w:b w:val="0"/>
          <w:bCs/>
          <w:sz w:val="32"/>
          <w:szCs w:val="32"/>
        </w:rPr>
        <w:t>（三）部门履职绩效情况</w:t>
      </w:r>
    </w:p>
    <w:p>
      <w:pPr>
        <w:spacing w:line="360" w:lineRule="auto"/>
        <w:ind w:firstLine="640" w:firstLineChars="200"/>
        <w:rPr>
          <w:rFonts w:ascii="仿宋_GB2312" w:hAnsi="仿宋" w:eastAsia="仿宋_GB2312"/>
          <w:b w:val="0"/>
          <w:bCs/>
          <w:sz w:val="32"/>
          <w:szCs w:val="32"/>
        </w:rPr>
      </w:pPr>
      <w:r>
        <w:rPr>
          <w:rFonts w:ascii="仿宋_GB2312" w:hAnsi="仿宋" w:eastAsia="仿宋_GB2312"/>
          <w:b w:val="0"/>
          <w:bCs/>
          <w:sz w:val="32"/>
          <w:szCs w:val="32"/>
        </w:rPr>
        <w:t xml:space="preserve">1. </w:t>
      </w:r>
      <w:r>
        <w:rPr>
          <w:rFonts w:hint="eastAsia" w:ascii="仿宋_GB2312" w:hAnsi="仿宋" w:eastAsia="仿宋_GB2312"/>
          <w:b w:val="0"/>
          <w:bCs/>
          <w:sz w:val="32"/>
          <w:szCs w:val="32"/>
        </w:rPr>
        <w:t>经济性</w:t>
      </w:r>
    </w:p>
    <w:p>
      <w:pPr>
        <w:pStyle w:val="16"/>
        <w:spacing w:before="0" w:after="0" w:line="560" w:lineRule="exact"/>
        <w:ind w:firstLine="640" w:firstLineChars="200"/>
        <w:jc w:val="both"/>
        <w:rPr>
          <w:rFonts w:ascii="仿宋_GB2312" w:hAnsi="Calibri" w:eastAsia="仿宋_GB2312" w:cs="Times New Roman"/>
          <w:spacing w:val="0"/>
          <w:sz w:val="32"/>
          <w:szCs w:val="32"/>
        </w:rPr>
      </w:pPr>
      <w:r>
        <w:rPr>
          <w:rFonts w:hint="eastAsia" w:ascii="仿宋_GB2312" w:hAnsi="Calibri" w:eastAsia="仿宋_GB2312" w:cs="Times New Roman"/>
          <w:spacing w:val="0"/>
          <w:sz w:val="32"/>
          <w:szCs w:val="32"/>
        </w:rPr>
        <w:t>我所“三公”经费管理严格遵照《深圳市党政机关厉行节约反对浪费实施办法》有关规定执行，因公出国（境）经费年初按照零基预算原则，在实际执行中根据计划据实调配，公务接待费和公务用车运行维护费实行综合定额管理，各项费用均在预算范围内开支。</w:t>
      </w:r>
    </w:p>
    <w:p>
      <w:pPr>
        <w:spacing w:line="360" w:lineRule="auto"/>
        <w:ind w:firstLine="640" w:firstLineChars="200"/>
        <w:rPr>
          <w:rFonts w:ascii="仿宋_GB2312" w:hAnsi="仿宋" w:eastAsia="仿宋_GB2312"/>
          <w:bCs/>
          <w:sz w:val="32"/>
          <w:szCs w:val="32"/>
        </w:rPr>
      </w:pPr>
      <w:r>
        <w:rPr>
          <w:rFonts w:hint="eastAsia" w:ascii="仿宋_GB2312" w:hAnsi="Calibri" w:eastAsia="仿宋_GB2312"/>
          <w:sz w:val="32"/>
          <w:szCs w:val="32"/>
        </w:rPr>
        <w:t>本年度</w:t>
      </w:r>
      <w:r>
        <w:rPr>
          <w:rFonts w:hint="eastAsia" w:ascii="仿宋_GB2312" w:hAnsi="仿宋" w:eastAsia="仿宋_GB2312"/>
          <w:bCs/>
          <w:sz w:val="32"/>
          <w:szCs w:val="32"/>
        </w:rPr>
        <w:t>“三公”经费预算数为12.15万元，均为公务用车购置及运行维护费12.15万元；实际支出10.78万元，均为公务车购置及运行维护费10.78万元，“三公”经费控制率为88.72</w:t>
      </w:r>
      <w:r>
        <w:rPr>
          <w:rFonts w:ascii="仿宋_GB2312" w:hAnsi="仿宋" w:eastAsia="仿宋_GB2312"/>
          <w:bCs/>
          <w:sz w:val="32"/>
          <w:szCs w:val="32"/>
        </w:rPr>
        <w:t>%</w:t>
      </w:r>
      <w:r>
        <w:rPr>
          <w:rFonts w:hint="eastAsia" w:ascii="仿宋_GB2312" w:hAnsi="仿宋" w:eastAsia="仿宋_GB2312"/>
          <w:bCs/>
          <w:sz w:val="32"/>
          <w:szCs w:val="32"/>
        </w:rPr>
        <w:t>，“三公”经费控制情况良好。</w:t>
      </w:r>
    </w:p>
    <w:p>
      <w:pPr>
        <w:pStyle w:val="16"/>
        <w:spacing w:before="0" w:after="0" w:line="560" w:lineRule="exact"/>
        <w:ind w:firstLine="640" w:firstLineChars="200"/>
        <w:jc w:val="both"/>
        <w:outlineLvl w:val="3"/>
        <w:rPr>
          <w:rFonts w:ascii="仿宋_GB2312" w:hAnsi="Calibri" w:eastAsia="仿宋_GB2312" w:cs="Times New Roman"/>
          <w:b w:val="0"/>
          <w:bCs w:val="0"/>
          <w:spacing w:val="0"/>
          <w:sz w:val="32"/>
          <w:szCs w:val="32"/>
        </w:rPr>
      </w:pPr>
      <w:r>
        <w:rPr>
          <w:rFonts w:hint="eastAsia" w:ascii="仿宋_GB2312" w:hAnsi="Calibri" w:eastAsia="仿宋_GB2312" w:cs="Times New Roman"/>
          <w:b w:val="0"/>
          <w:bCs w:val="0"/>
          <w:spacing w:val="0"/>
          <w:sz w:val="32"/>
          <w:szCs w:val="32"/>
        </w:rPr>
        <w:t>2.效率性</w:t>
      </w:r>
    </w:p>
    <w:p>
      <w:pPr>
        <w:spacing w:line="580" w:lineRule="exact"/>
        <w:ind w:firstLine="640" w:firstLineChars="200"/>
        <w:rPr>
          <w:rFonts w:eastAsia="仿宋_GB2312"/>
          <w:sz w:val="32"/>
          <w:szCs w:val="32"/>
        </w:rPr>
      </w:pPr>
      <w:r>
        <w:rPr>
          <w:rFonts w:hint="eastAsia" w:ascii="仿宋_GB2312" w:eastAsia="仿宋_GB2312"/>
          <w:sz w:val="32"/>
          <w:szCs w:val="32"/>
        </w:rPr>
        <w:t>2020年我所部门整体预算执行率达到99.96%，第一、第二、第三、第四季度预算执行率分别为37.52%、61.45%、83.46%、99.96%，达到工作要求，各季度预算执行的及时性和均衡性优秀。</w:t>
      </w:r>
    </w:p>
    <w:p>
      <w:pPr>
        <w:spacing w:line="580" w:lineRule="exact"/>
        <w:ind w:firstLine="640" w:firstLineChars="200"/>
      </w:pPr>
      <w:r>
        <w:rPr>
          <w:rFonts w:hint="eastAsia" w:ascii="仿宋_GB2312" w:eastAsia="仿宋_GB2312"/>
          <w:sz w:val="32"/>
          <w:szCs w:val="32"/>
        </w:rPr>
        <w:t>2020年我所决算项目数8个，预算绩效项目覆盖8个，覆盖率达100%，项目绩效情况达到预期目标。</w:t>
      </w:r>
    </w:p>
    <w:p>
      <w:pPr>
        <w:spacing w:line="580" w:lineRule="exact"/>
        <w:ind w:firstLine="627" w:firstLineChars="196"/>
        <w:rPr>
          <w:rFonts w:ascii="仿宋_GB2312" w:hAnsi="Calibri" w:eastAsia="仿宋_GB2312"/>
          <w:b w:val="0"/>
          <w:bCs w:val="0"/>
          <w:sz w:val="32"/>
          <w:szCs w:val="32"/>
        </w:rPr>
      </w:pPr>
      <w:r>
        <w:rPr>
          <w:rFonts w:hint="eastAsia" w:ascii="仿宋_GB2312" w:hAnsi="Calibri" w:eastAsia="仿宋_GB2312"/>
          <w:b w:val="0"/>
          <w:bCs w:val="0"/>
          <w:sz w:val="32"/>
          <w:szCs w:val="32"/>
        </w:rPr>
        <w:t>3.效果性</w:t>
      </w:r>
    </w:p>
    <w:p>
      <w:pPr>
        <w:spacing w:line="580" w:lineRule="exact"/>
        <w:ind w:firstLine="627" w:firstLineChars="196"/>
        <w:rPr>
          <w:rFonts w:ascii="仿宋_GB2312" w:eastAsia="仿宋_GB2312"/>
          <w:sz w:val="32"/>
          <w:szCs w:val="32"/>
        </w:rPr>
      </w:pPr>
      <w:r>
        <w:rPr>
          <w:rFonts w:hint="eastAsia" w:ascii="仿宋_GB2312" w:eastAsia="仿宋_GB2312"/>
          <w:sz w:val="32"/>
          <w:szCs w:val="32"/>
        </w:rPr>
        <w:t>大鹏新区卫生监督所通过履行职责、完成各项工作任务，对社会发展和可持续发展带来的影响如下：</w:t>
      </w:r>
    </w:p>
    <w:p>
      <w:pPr>
        <w:spacing w:line="580" w:lineRule="exact"/>
        <w:ind w:firstLine="627" w:firstLineChars="196"/>
        <w:rPr>
          <w:rFonts w:ascii="仿宋_GB2312" w:eastAsia="仿宋_GB2312"/>
          <w:sz w:val="32"/>
          <w:szCs w:val="32"/>
        </w:rPr>
      </w:pPr>
      <w:r>
        <w:rPr>
          <w:rFonts w:hint="eastAsia" w:ascii="仿宋_GB2312" w:eastAsia="仿宋_GB2312"/>
          <w:sz w:val="32"/>
          <w:szCs w:val="32"/>
        </w:rPr>
        <w:t>（1）社会效益方面。</w:t>
      </w:r>
      <w:r>
        <w:rPr>
          <w:rFonts w:hint="eastAsia" w:ascii="仿宋_GB2312" w:eastAsia="仿宋_GB2312"/>
          <w:b/>
          <w:bCs/>
          <w:sz w:val="32"/>
          <w:szCs w:val="32"/>
        </w:rPr>
        <w:t>一是</w:t>
      </w:r>
      <w:r>
        <w:rPr>
          <w:rFonts w:hint="eastAsia" w:ascii="仿宋_GB2312" w:eastAsia="仿宋_GB2312"/>
          <w:sz w:val="32"/>
          <w:szCs w:val="32"/>
        </w:rPr>
        <w:t>，通过强化医疗卫生、公共场所、企业复工复产各领域防疫措施精准高效实施，推动防控工作有力有序有效深入开展,筑牢防疫安全屏障，确保平稳有序安全复工复产、开学；</w:t>
      </w:r>
      <w:r>
        <w:rPr>
          <w:rFonts w:hint="eastAsia" w:ascii="仿宋_GB2312" w:eastAsia="仿宋_GB2312"/>
          <w:b/>
          <w:bCs/>
          <w:sz w:val="32"/>
          <w:szCs w:val="32"/>
        </w:rPr>
        <w:t>二是</w:t>
      </w:r>
      <w:r>
        <w:rPr>
          <w:rFonts w:hint="eastAsia" w:ascii="仿宋_GB2312" w:eastAsia="仿宋_GB2312"/>
          <w:sz w:val="32"/>
          <w:szCs w:val="32"/>
        </w:rPr>
        <w:t>，活用新媒体平台，创新培训模式。通过线上</w:t>
      </w:r>
      <w:r>
        <w:rPr>
          <w:rFonts w:hint="eastAsia" w:ascii="仿宋_GB2312" w:hAnsi="仿宋_GB2312" w:eastAsia="仿宋_GB2312" w:cs="仿宋_GB2312"/>
          <w:sz w:val="32"/>
          <w:szCs w:val="32"/>
        </w:rPr>
        <w:t>《职业病防治法》</w:t>
      </w:r>
      <w:r>
        <w:rPr>
          <w:rFonts w:hint="eastAsia" w:ascii="仿宋_GB2312" w:eastAsia="仿宋_GB2312"/>
          <w:sz w:val="32"/>
          <w:szCs w:val="32"/>
        </w:rPr>
        <w:t>宣传教育的方式，该活动方式参与简单、方便，不受场地或时间限制，为企业负责人、职业卫生管理人员提供了便利，也充分激发了企业员工主动学习热情，切实提高了企业员工对《职业病防治法》的知晓程度，起到了良好的普法宣传效果，为往后新区职业病防治工作打下坚实基础；</w:t>
      </w:r>
      <w:r>
        <w:rPr>
          <w:rFonts w:hint="eastAsia" w:ascii="仿宋_GB2312" w:eastAsia="仿宋_GB2312"/>
          <w:b/>
          <w:bCs/>
          <w:sz w:val="32"/>
          <w:szCs w:val="32"/>
        </w:rPr>
        <w:t>三是</w:t>
      </w:r>
      <w:r>
        <w:rPr>
          <w:rFonts w:hint="eastAsia" w:ascii="仿宋_GB2312" w:eastAsia="仿宋_GB2312"/>
          <w:sz w:val="32"/>
          <w:szCs w:val="32"/>
        </w:rPr>
        <w:t>，</w:t>
      </w:r>
      <w:r>
        <w:rPr>
          <w:rFonts w:hint="eastAsia" w:ascii="仿宋_GB2312" w:hAnsi="仿宋_GB2312" w:eastAsia="仿宋_GB2312" w:cs="仿宋_GB2312"/>
          <w:sz w:val="32"/>
          <w:szCs w:val="32"/>
        </w:rPr>
        <w:t>建立住宿场所消毒间实时监控机制，通过在住宿场所的清洗消毒间内安装监控摄像设备，实时查看消毒间内的各项操作流程，使卫生监督人员能够在第一时间发现清洗消毒操作过程中存在的问题，并通过建立的微信群及时反馈给酒店管理人员，真正做到“立査立改”，使清洗消毒操作的规范性进一步提升，有效提高公共场所经营单位的卫生管理水平，及时消除公共场所经营单位的卫生安全隐患，为广大市民群众提供一个良好的住宿卫生环境。</w:t>
      </w:r>
    </w:p>
    <w:p>
      <w:pPr>
        <w:spacing w:line="580" w:lineRule="exact"/>
        <w:ind w:firstLine="627" w:firstLineChars="196"/>
        <w:rPr>
          <w:rFonts w:ascii="仿宋_GB2312" w:eastAsia="仿宋_GB2312"/>
          <w:sz w:val="32"/>
          <w:szCs w:val="32"/>
        </w:rPr>
      </w:pPr>
      <w:r>
        <w:rPr>
          <w:rFonts w:hint="eastAsia" w:ascii="仿宋_GB2312" w:eastAsia="仿宋_GB2312"/>
          <w:sz w:val="32"/>
          <w:szCs w:val="32"/>
        </w:rPr>
        <w:t>（2）可持续影响方面。通过持续开展各项卫生监督工作，深化重点领域监管机制改革，严厉打击扰乱正常诊疗秩序的违法违规行为，坚持公共场所量化分级管理，深入开展控烟工作，落实医疗机构不良行为记分制，强化公共场所、职业健康、学校与饮用水卫生、医疗机构及传染病防治的监督工作，为新区群众营造良好可持续的营商环境和卫生环境。</w:t>
      </w:r>
    </w:p>
    <w:p>
      <w:pPr>
        <w:pStyle w:val="16"/>
        <w:spacing w:before="0" w:after="0" w:line="560" w:lineRule="exact"/>
        <w:ind w:firstLine="640" w:firstLineChars="200"/>
        <w:jc w:val="both"/>
        <w:outlineLvl w:val="3"/>
        <w:rPr>
          <w:rFonts w:ascii="仿宋_GB2312" w:hAnsi="Calibri" w:eastAsia="仿宋_GB2312" w:cs="Times New Roman"/>
          <w:b w:val="0"/>
          <w:bCs w:val="0"/>
          <w:spacing w:val="0"/>
          <w:sz w:val="32"/>
          <w:szCs w:val="32"/>
        </w:rPr>
      </w:pPr>
      <w:r>
        <w:rPr>
          <w:rFonts w:hint="eastAsia" w:ascii="仿宋_GB2312" w:hAnsi="Calibri" w:eastAsia="仿宋_GB2312" w:cs="Times New Roman"/>
          <w:b w:val="0"/>
          <w:bCs w:val="0"/>
          <w:spacing w:val="0"/>
          <w:sz w:val="32"/>
          <w:szCs w:val="32"/>
        </w:rPr>
        <w:t>4.公平性</w:t>
      </w:r>
    </w:p>
    <w:p>
      <w:pPr>
        <w:pStyle w:val="16"/>
        <w:spacing w:before="0" w:after="0" w:line="560" w:lineRule="exact"/>
        <w:ind w:firstLine="640" w:firstLineChars="200"/>
        <w:jc w:val="both"/>
        <w:rPr>
          <w:rFonts w:ascii="仿宋_GB2312" w:hAnsi="Calibri" w:eastAsia="仿宋_GB2312" w:cs="Times New Roman"/>
          <w:spacing w:val="0"/>
          <w:sz w:val="32"/>
          <w:szCs w:val="32"/>
        </w:rPr>
      </w:pPr>
      <w:r>
        <w:rPr>
          <w:rFonts w:hint="eastAsia" w:ascii="仿宋_GB2312" w:hAnsi="Calibri" w:eastAsia="仿宋_GB2312" w:cs="Times New Roman"/>
          <w:spacing w:val="0"/>
          <w:sz w:val="32"/>
          <w:szCs w:val="32"/>
        </w:rPr>
        <w:t>（1）群众信访办理情况</w:t>
      </w:r>
    </w:p>
    <w:p>
      <w:pPr>
        <w:pStyle w:val="16"/>
        <w:spacing w:before="0" w:after="0" w:line="560" w:lineRule="exact"/>
        <w:ind w:firstLine="640" w:firstLineChars="200"/>
        <w:jc w:val="both"/>
        <w:rPr>
          <w:rFonts w:ascii="仿宋_GB2312" w:hAnsi="Calibri" w:eastAsia="仿宋_GB2312" w:cs="Times New Roman"/>
          <w:spacing w:val="0"/>
          <w:sz w:val="32"/>
          <w:szCs w:val="32"/>
        </w:rPr>
      </w:pPr>
      <w:r>
        <w:rPr>
          <w:rFonts w:hint="eastAsia" w:ascii="仿宋_GB2312" w:hAnsi="Calibri" w:eastAsia="仿宋_GB2312" w:cs="Times New Roman"/>
          <w:spacing w:val="0"/>
          <w:sz w:val="32"/>
          <w:szCs w:val="32"/>
        </w:rPr>
        <w:t>20</w:t>
      </w:r>
      <w:r>
        <w:rPr>
          <w:rFonts w:ascii="仿宋_GB2312" w:hAnsi="Calibri" w:eastAsia="仿宋_GB2312" w:cs="Times New Roman"/>
          <w:spacing w:val="0"/>
          <w:sz w:val="32"/>
          <w:szCs w:val="32"/>
        </w:rPr>
        <w:t>20</w:t>
      </w:r>
      <w:r>
        <w:rPr>
          <w:rFonts w:hint="eastAsia" w:ascii="仿宋_GB2312" w:hAnsi="Calibri" w:eastAsia="仿宋_GB2312" w:cs="Times New Roman"/>
          <w:spacing w:val="0"/>
          <w:sz w:val="32"/>
          <w:szCs w:val="32"/>
        </w:rPr>
        <w:t>年，我所共受理群众信访案件11宗，其中我所首接2宗、上级交办9宗，办结11宗。按照专业分类包括公共场所类6宗、医政类3宗、职业卫生类1宗、学校卫生类1宗。均已在规定时限内办结，未发现逾期未办理的情况。</w:t>
      </w:r>
    </w:p>
    <w:p>
      <w:pPr>
        <w:pStyle w:val="16"/>
        <w:spacing w:before="0" w:after="0" w:line="560" w:lineRule="exact"/>
        <w:ind w:firstLine="381" w:firstLineChars="200"/>
        <w:jc w:val="both"/>
        <w:rPr>
          <w:rFonts w:ascii="仿宋_GB2312" w:hAnsi="Calibri" w:eastAsia="仿宋_GB2312" w:cs="Times New Roman"/>
          <w:spacing w:val="0"/>
          <w:sz w:val="32"/>
          <w:szCs w:val="32"/>
        </w:rPr>
      </w:pPr>
      <w:r>
        <w:rPr>
          <w:b/>
          <w:color w:val="000000"/>
          <w:sz w:val="15"/>
          <w:szCs w:val="15"/>
        </w:rPr>
        <w:drawing>
          <wp:anchor distT="0" distB="0" distL="0" distR="0" simplePos="0" relativeHeight="251659264" behindDoc="0" locked="0" layoutInCell="1" allowOverlap="1">
            <wp:simplePos x="0" y="0"/>
            <wp:positionH relativeFrom="column">
              <wp:posOffset>174625</wp:posOffset>
            </wp:positionH>
            <wp:positionV relativeFrom="paragraph">
              <wp:posOffset>300990</wp:posOffset>
            </wp:positionV>
            <wp:extent cx="4381500" cy="2333625"/>
            <wp:effectExtent l="0" t="0" r="0" b="0"/>
            <wp:wrapTopAndBottom/>
            <wp:docPr id="1027"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pStyle w:val="16"/>
        <w:spacing w:before="0" w:after="0" w:line="560" w:lineRule="exact"/>
        <w:ind w:firstLine="640" w:firstLineChars="200"/>
        <w:jc w:val="both"/>
        <w:rPr>
          <w:rFonts w:ascii="仿宋_GB2312" w:hAnsi="Calibri" w:eastAsia="仿宋_GB2312" w:cs="Times New Roman"/>
          <w:spacing w:val="0"/>
          <w:sz w:val="32"/>
          <w:szCs w:val="32"/>
        </w:rPr>
      </w:pPr>
      <w:r>
        <w:rPr>
          <w:rFonts w:hint="eastAsia" w:ascii="仿宋_GB2312" w:hAnsi="Calibri" w:eastAsia="仿宋_GB2312" w:cs="Times New Roman"/>
          <w:spacing w:val="0"/>
          <w:sz w:val="32"/>
          <w:szCs w:val="32"/>
        </w:rPr>
        <w:t>（2）公众或服务对象满意度</w:t>
      </w:r>
    </w:p>
    <w:p>
      <w:pPr>
        <w:pStyle w:val="16"/>
        <w:spacing w:before="0" w:after="0" w:line="560" w:lineRule="exact"/>
        <w:ind w:firstLine="680" w:firstLineChars="200"/>
        <w:jc w:val="both"/>
        <w:rPr>
          <w:rFonts w:ascii="仿宋_GB2312" w:hAnsi="Calibri" w:eastAsia="仿宋_GB2312" w:cs="Times New Roman"/>
          <w:spacing w:val="0"/>
          <w:sz w:val="32"/>
          <w:szCs w:val="32"/>
        </w:rPr>
      </w:pPr>
      <w:r>
        <w:drawing>
          <wp:anchor distT="0" distB="0" distL="0" distR="0" simplePos="0" relativeHeight="251659264" behindDoc="0" locked="0" layoutInCell="1" allowOverlap="1">
            <wp:simplePos x="0" y="0"/>
            <wp:positionH relativeFrom="column">
              <wp:posOffset>93980</wp:posOffset>
            </wp:positionH>
            <wp:positionV relativeFrom="paragraph">
              <wp:posOffset>1148080</wp:posOffset>
            </wp:positionV>
            <wp:extent cx="5067300" cy="2533650"/>
            <wp:effectExtent l="0" t="0" r="4445" b="9525"/>
            <wp:wrapTopAndBottom/>
            <wp:docPr id="1028" name="图片 1"/>
            <wp:cNvGraphicFramePr/>
            <a:graphic xmlns:a="http://schemas.openxmlformats.org/drawingml/2006/main">
              <a:graphicData uri="http://schemas.openxmlformats.org/drawingml/2006/picture">
                <pic:pic xmlns:pic="http://schemas.openxmlformats.org/drawingml/2006/picture">
                  <pic:nvPicPr>
                    <pic:cNvPr id="1028" name="图片 1"/>
                    <pic:cNvPicPr/>
                  </pic:nvPicPr>
                  <pic:blipFill>
                    <a:blip r:embed="rId6" cstate="print"/>
                    <a:srcRect/>
                    <a:stretch>
                      <a:fillRect/>
                    </a:stretch>
                  </pic:blipFill>
                  <pic:spPr>
                    <a:xfrm>
                      <a:off x="0" y="0"/>
                      <a:ext cx="5067205" cy="2533884"/>
                    </a:xfrm>
                    <a:prstGeom prst="rect">
                      <a:avLst/>
                    </a:prstGeom>
                    <a:ln>
                      <a:noFill/>
                    </a:ln>
                  </pic:spPr>
                </pic:pic>
              </a:graphicData>
            </a:graphic>
          </wp:anchor>
        </w:drawing>
      </w:r>
      <w:r>
        <w:rPr>
          <w:rFonts w:hint="eastAsia" w:ascii="仿宋_GB2312" w:hAnsi="Calibri" w:eastAsia="仿宋_GB2312" w:cs="Times New Roman"/>
          <w:spacing w:val="0"/>
          <w:sz w:val="32"/>
          <w:szCs w:val="32"/>
        </w:rPr>
        <w:t>根据“2020年大鹏新区卫生监督所满意度调查统计报告”显示，公众对我所服务总体满意度为9</w:t>
      </w:r>
      <w:r>
        <w:rPr>
          <w:rFonts w:ascii="仿宋_GB2312" w:hAnsi="Calibri" w:eastAsia="仿宋_GB2312" w:cs="Times New Roman"/>
          <w:spacing w:val="0"/>
          <w:sz w:val="32"/>
          <w:szCs w:val="32"/>
        </w:rPr>
        <w:t>7.62</w:t>
      </w:r>
      <w:r>
        <w:rPr>
          <w:rFonts w:hint="eastAsia" w:ascii="仿宋_GB2312" w:hAnsi="Calibri" w:eastAsia="仿宋_GB2312" w:cs="Times New Roman"/>
          <w:spacing w:val="0"/>
          <w:sz w:val="32"/>
          <w:szCs w:val="32"/>
        </w:rPr>
        <w:t>%，具体详见下图。</w:t>
      </w:r>
    </w:p>
    <w:p>
      <w:pPr>
        <w:spacing w:line="580" w:lineRule="exact"/>
        <w:ind w:firstLine="627" w:firstLineChars="196"/>
        <w:rPr>
          <w:rFonts w:ascii="黑体" w:hAnsi="黑体" w:eastAsia="黑体"/>
          <w:sz w:val="32"/>
          <w:szCs w:val="32"/>
        </w:rPr>
      </w:pPr>
      <w:r>
        <w:rPr>
          <w:rFonts w:hint="eastAsia" w:ascii="黑体" w:hAnsi="黑体" w:eastAsia="黑体"/>
          <w:sz w:val="32"/>
          <w:szCs w:val="32"/>
        </w:rPr>
        <w:t xml:space="preserve"> 三、总体评价和整改措施</w:t>
      </w:r>
    </w:p>
    <w:p>
      <w:pPr>
        <w:spacing w:line="580" w:lineRule="exact"/>
        <w:ind w:firstLine="600" w:firstLineChars="250"/>
        <w:rPr>
          <w:rFonts w:ascii="楷体" w:hAnsi="楷体" w:eastAsia="楷体"/>
          <w:b/>
          <w:sz w:val="32"/>
          <w:szCs w:val="32"/>
        </w:rPr>
      </w:pPr>
      <w:r>
        <w:rPr>
          <w:rFonts w:ascii="宋体" w:hAnsi="宋体" w:cs="宋体"/>
          <w:kern w:val="0"/>
          <w:sz w:val="24"/>
        </w:rPr>
        <w:drawing>
          <wp:anchor distT="0" distB="0" distL="0" distR="0" simplePos="0" relativeHeight="251659264" behindDoc="0" locked="0" layoutInCell="1" allowOverlap="1">
            <wp:simplePos x="0" y="0"/>
            <wp:positionH relativeFrom="column">
              <wp:posOffset>249555</wp:posOffset>
            </wp:positionH>
            <wp:positionV relativeFrom="paragraph">
              <wp:posOffset>3510915</wp:posOffset>
            </wp:positionV>
            <wp:extent cx="4438650" cy="2314575"/>
            <wp:effectExtent l="0" t="0" r="0" b="0"/>
            <wp:wrapTopAndBottom/>
            <wp:docPr id="1030"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580" w:lineRule="exact"/>
        <w:ind w:firstLine="803" w:firstLineChars="250"/>
        <w:rPr>
          <w:rFonts w:ascii="楷体" w:hAnsi="楷体" w:eastAsia="楷体"/>
          <w:b/>
          <w:sz w:val="32"/>
          <w:szCs w:val="32"/>
        </w:rPr>
      </w:pPr>
    </w:p>
    <w:p>
      <w:pPr>
        <w:spacing w:line="580" w:lineRule="exact"/>
        <w:ind w:firstLine="803" w:firstLineChars="250"/>
        <w:rPr>
          <w:rFonts w:ascii="楷体" w:hAnsi="楷体" w:eastAsia="楷体"/>
          <w:b/>
          <w:sz w:val="32"/>
          <w:szCs w:val="32"/>
        </w:rPr>
      </w:pPr>
    </w:p>
    <w:p>
      <w:pPr>
        <w:pStyle w:val="9"/>
        <w:ind w:firstLine="321"/>
        <w:rPr>
          <w:rFonts w:ascii="楷体" w:hAnsi="楷体" w:eastAsia="楷体"/>
          <w:b/>
          <w:sz w:val="32"/>
          <w:szCs w:val="32"/>
        </w:rPr>
      </w:pPr>
    </w:p>
    <w:p>
      <w:pPr>
        <w:spacing w:line="580" w:lineRule="exact"/>
        <w:ind w:firstLine="803" w:firstLineChars="250"/>
        <w:rPr>
          <w:rFonts w:ascii="楷体" w:hAnsi="楷体" w:eastAsia="楷体"/>
          <w:b/>
          <w:sz w:val="32"/>
          <w:szCs w:val="32"/>
        </w:rPr>
      </w:pPr>
    </w:p>
    <w:p>
      <w:pPr>
        <w:spacing w:line="580" w:lineRule="exact"/>
        <w:ind w:firstLine="800" w:firstLineChars="250"/>
        <w:rPr>
          <w:rFonts w:ascii="楷体" w:hAnsi="楷体" w:eastAsia="楷体"/>
          <w:b w:val="0"/>
          <w:bCs/>
          <w:sz w:val="32"/>
          <w:szCs w:val="32"/>
        </w:rPr>
      </w:pPr>
      <w:r>
        <w:rPr>
          <w:rFonts w:hint="eastAsia" w:ascii="楷体" w:hAnsi="楷体" w:eastAsia="楷体"/>
          <w:b w:val="0"/>
          <w:bCs/>
          <w:sz w:val="32"/>
          <w:szCs w:val="32"/>
        </w:rPr>
        <w:t>（一）预算绩效管理工作主要经验、做法。</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预算绩效管理是政府绩效管理组成部分，以财政支出结果为导向，将绩效理念和管理方法融入预算编制、预算执行、预算监督的全过程管理中，建立“预算编制有目标、预算执行有监控、预算完成有评价、评价结果有反馈、反馈结果有应用”的管理机制。</w:t>
      </w:r>
      <w:r>
        <w:rPr>
          <w:rFonts w:hint="eastAsia" w:ascii="仿宋_GB2312" w:hAnsi="Calibri" w:eastAsia="仿宋_GB2312"/>
          <w:sz w:val="32"/>
          <w:szCs w:val="32"/>
        </w:rPr>
        <w:t>大鹏新区卫生监督所</w:t>
      </w:r>
      <w:r>
        <w:rPr>
          <w:rFonts w:hint="eastAsia" w:ascii="仿宋_GB2312" w:eastAsia="仿宋_GB2312"/>
          <w:sz w:val="32"/>
          <w:szCs w:val="32"/>
        </w:rPr>
        <w:t>在学习和借鉴优秀单位对于预算绩效管理的基础上，不断完善、提高预算绩效管理水平，主要经验和做法有：</w:t>
      </w:r>
    </w:p>
    <w:p>
      <w:pPr>
        <w:spacing w:line="580" w:lineRule="exact"/>
        <w:ind w:left="0" w:leftChars="0" w:firstLine="640" w:firstLineChars="200"/>
        <w:rPr>
          <w:rFonts w:hint="eastAsia" w:ascii="仿宋_GB2312" w:eastAsia="仿宋_GB2312"/>
          <w:b/>
          <w:bCs/>
          <w:sz w:val="32"/>
          <w:szCs w:val="32"/>
        </w:rPr>
      </w:pPr>
      <w:r>
        <w:rPr>
          <w:rFonts w:hint="eastAsia" w:ascii="仿宋_GB2312" w:eastAsia="仿宋_GB2312"/>
          <w:b w:val="0"/>
          <w:bCs w:val="0"/>
          <w:sz w:val="32"/>
          <w:szCs w:val="32"/>
        </w:rPr>
        <w:t>1.强化绩效管理理念，是预算绩效管理工作的切入点</w:t>
      </w:r>
      <w:r>
        <w:rPr>
          <w:rFonts w:hint="eastAsia" w:ascii="仿宋_GB2312" w:eastAsia="仿宋_GB2312"/>
          <w:b/>
          <w:bCs/>
          <w:sz w:val="32"/>
          <w:szCs w:val="32"/>
        </w:rPr>
        <w:t>。</w:t>
      </w:r>
    </w:p>
    <w:p>
      <w:pPr>
        <w:spacing w:line="580" w:lineRule="exact"/>
        <w:ind w:left="0" w:leftChars="0" w:firstLine="640" w:firstLineChars="200"/>
        <w:rPr>
          <w:rFonts w:ascii="仿宋_GB2312" w:eastAsia="仿宋_GB2312"/>
          <w:sz w:val="32"/>
          <w:szCs w:val="32"/>
        </w:rPr>
      </w:pPr>
      <w:r>
        <w:rPr>
          <w:rFonts w:hint="eastAsia" w:ascii="仿宋_GB2312" w:eastAsia="仿宋_GB2312"/>
          <w:sz w:val="32"/>
          <w:szCs w:val="32"/>
          <w:highlight w:val="none"/>
        </w:rPr>
        <w:t>单位</w:t>
      </w:r>
      <w:r>
        <w:rPr>
          <w:rFonts w:hint="eastAsia" w:ascii="仿宋_GB2312" w:eastAsia="仿宋_GB2312"/>
          <w:sz w:val="32"/>
          <w:szCs w:val="32"/>
        </w:rPr>
        <w:t>工作人员通过学习《深圳市人民政府关于加强财政预算绩效管理工作的意见》（深府〔2013〕23号）《关于印发&lt;深圳市预算绩效管理暂行办法&gt;的通知》（深财规〔2014〕8号）《关于印发&lt;深圳市本级预算绩效目标管理工作规程（试行）&gt;的通知》（深财规〔2014〕10号）《关于印发&lt;深圳市财政项目支出绩效评价共性指标体系框架、评分表及操作指引&gt;的通知》（深财绩〔2017〕4号）《关于印发&lt;深圳市市级财政项目支出绩效评价工作规程（试行）&gt;的通知》（深财绩〔2017〕5号）《关于推动各区实施绩效管理的意见》（深财秘〔2017〕18号文）等预算绩效管理有关政策文件，形成绩效管理理念，有效开展绩效管理工作。</w:t>
      </w:r>
    </w:p>
    <w:p>
      <w:pPr>
        <w:spacing w:line="580" w:lineRule="exact"/>
        <w:ind w:firstLine="640" w:firstLineChars="200"/>
        <w:rPr>
          <w:rFonts w:hint="eastAsia" w:ascii="仿宋_GB2312" w:eastAsia="仿宋_GB2312"/>
          <w:b w:val="0"/>
          <w:bCs w:val="0"/>
          <w:sz w:val="32"/>
          <w:szCs w:val="32"/>
        </w:rPr>
      </w:pPr>
      <w:r>
        <w:rPr>
          <w:rFonts w:hint="eastAsia" w:ascii="仿宋_GB2312" w:eastAsia="仿宋_GB2312"/>
          <w:b w:val="0"/>
          <w:bCs w:val="0"/>
          <w:sz w:val="32"/>
          <w:szCs w:val="32"/>
        </w:rPr>
        <w:t>2.科学设置预算项目，是预算绩效管理工作的基础。</w:t>
      </w:r>
    </w:p>
    <w:p>
      <w:pPr>
        <w:spacing w:line="580" w:lineRule="exact"/>
        <w:ind w:firstLine="640" w:firstLineChars="200"/>
        <w:rPr>
          <w:rFonts w:ascii="仿宋_GB2312" w:eastAsia="仿宋_GB2312"/>
          <w:sz w:val="32"/>
          <w:szCs w:val="32"/>
        </w:rPr>
      </w:pPr>
      <w:r>
        <w:rPr>
          <w:rFonts w:hint="eastAsia" w:ascii="仿宋_GB2312" w:eastAsia="仿宋_GB2312"/>
          <w:sz w:val="32"/>
          <w:szCs w:val="32"/>
          <w:highlight w:val="none"/>
        </w:rPr>
        <w:t>我所</w:t>
      </w:r>
      <w:r>
        <w:rPr>
          <w:rFonts w:hint="eastAsia" w:ascii="仿宋_GB2312" w:eastAsia="仿宋_GB2312"/>
          <w:sz w:val="32"/>
          <w:szCs w:val="32"/>
        </w:rPr>
        <w:t>根据部门履职、项目属性、实施内容、支出范围以及经费类型等，对项目设置情况进行了统一梳理，清理整合后共设置8个二级项目，项目设置较之前更为均衡合理、领域划分更为明晰，保证了绩效评价针对领域性更强、评价结果更为客观。</w:t>
      </w:r>
    </w:p>
    <w:p>
      <w:pPr>
        <w:spacing w:line="580" w:lineRule="exact"/>
        <w:ind w:firstLine="800" w:firstLineChars="250"/>
        <w:rPr>
          <w:rFonts w:hint="eastAsia" w:ascii="仿宋_GB2312" w:eastAsia="仿宋_GB2312"/>
          <w:b w:val="0"/>
          <w:bCs w:val="0"/>
          <w:sz w:val="32"/>
          <w:szCs w:val="32"/>
          <w:highlight w:val="none"/>
        </w:rPr>
      </w:pPr>
      <w:r>
        <w:rPr>
          <w:rFonts w:hint="eastAsia" w:ascii="仿宋_GB2312" w:eastAsia="仿宋_GB2312"/>
          <w:b w:val="0"/>
          <w:bCs w:val="0"/>
          <w:sz w:val="32"/>
          <w:szCs w:val="32"/>
        </w:rPr>
        <w:t>3.落实绩效管理责任，是预算绩效工作有效开展的前提条件</w:t>
      </w:r>
      <w:r>
        <w:rPr>
          <w:rFonts w:hint="eastAsia" w:ascii="仿宋_GB2312" w:eastAsia="仿宋_GB2312"/>
          <w:b w:val="0"/>
          <w:bCs w:val="0"/>
          <w:sz w:val="32"/>
          <w:szCs w:val="32"/>
          <w:highlight w:val="none"/>
        </w:rPr>
        <w:t>。</w:t>
      </w:r>
    </w:p>
    <w:p>
      <w:pPr>
        <w:spacing w:line="580" w:lineRule="exact"/>
        <w:ind w:firstLine="800" w:firstLineChars="250"/>
        <w:rPr>
          <w:rFonts w:ascii="仿宋_GB2312" w:eastAsia="仿宋_GB2312"/>
          <w:sz w:val="32"/>
          <w:szCs w:val="32"/>
        </w:rPr>
      </w:pPr>
      <w:r>
        <w:rPr>
          <w:rFonts w:hint="eastAsia" w:ascii="仿宋_GB2312" w:eastAsia="仿宋_GB2312"/>
          <w:sz w:val="32"/>
          <w:szCs w:val="32"/>
          <w:highlight w:val="none"/>
        </w:rPr>
        <w:t>我所</w:t>
      </w:r>
      <w:r>
        <w:rPr>
          <w:rFonts w:hint="eastAsia" w:ascii="仿宋_GB2312" w:eastAsia="仿宋_GB2312"/>
          <w:sz w:val="32"/>
          <w:szCs w:val="32"/>
        </w:rPr>
        <w:t>预算绩效坚持“统一管理、分级负责”的原则，设定办公室为绩效归口管理部门，牵头组织并指导各部门开展绩效相关工作；各部门是预算绩效管理的责任主体，负责落实本部门预算绩效管理工作。同时，单位主要负责人对我所预算绩效负总责；分管领导按照职责分工，对分管业务的预算绩效负领导责任；项目负责人对项目绩效负直接责任，切实做到花钱必问效、无效必问责。</w:t>
      </w:r>
    </w:p>
    <w:p>
      <w:pPr>
        <w:spacing w:line="580" w:lineRule="exact"/>
        <w:ind w:firstLine="800" w:firstLineChars="250"/>
        <w:rPr>
          <w:rFonts w:ascii="楷体" w:hAnsi="楷体" w:eastAsia="楷体"/>
          <w:b/>
          <w:sz w:val="32"/>
          <w:szCs w:val="32"/>
        </w:rPr>
      </w:pPr>
      <w:r>
        <w:rPr>
          <w:rFonts w:hint="eastAsia" w:ascii="楷体" w:hAnsi="楷体" w:eastAsia="楷体"/>
          <w:b w:val="0"/>
          <w:bCs/>
          <w:sz w:val="32"/>
          <w:szCs w:val="32"/>
        </w:rPr>
        <w:t>（二）部门整体支出绩效存在问题及改进措施</w:t>
      </w:r>
      <w:r>
        <w:rPr>
          <w:rFonts w:hint="eastAsia" w:ascii="楷体" w:hAnsi="楷体" w:eastAsia="楷体"/>
          <w:b/>
          <w:sz w:val="32"/>
          <w:szCs w:val="32"/>
        </w:rPr>
        <w:t>。</w:t>
      </w:r>
    </w:p>
    <w:p>
      <w:pPr>
        <w:spacing w:line="580" w:lineRule="exact"/>
        <w:ind w:firstLine="800" w:firstLineChars="250"/>
        <w:rPr>
          <w:rFonts w:hint="eastAsia" w:eastAsia="仿宋_GB2312"/>
          <w:b w:val="0"/>
          <w:bCs w:val="0"/>
          <w:sz w:val="32"/>
        </w:rPr>
      </w:pPr>
      <w:r>
        <w:rPr>
          <w:rFonts w:hint="eastAsia" w:eastAsia="仿宋_GB2312"/>
          <w:b w:val="0"/>
          <w:bCs w:val="0"/>
          <w:sz w:val="32"/>
        </w:rPr>
        <w:t>1</w:t>
      </w:r>
      <w:r>
        <w:rPr>
          <w:rFonts w:hint="default" w:eastAsia="仿宋_GB2312"/>
          <w:b w:val="0"/>
          <w:bCs w:val="0"/>
          <w:sz w:val="32"/>
        </w:rPr>
        <w:t>.</w:t>
      </w:r>
      <w:r>
        <w:rPr>
          <w:rFonts w:hint="eastAsia" w:eastAsia="仿宋_GB2312"/>
          <w:b w:val="0"/>
          <w:bCs w:val="0"/>
          <w:sz w:val="32"/>
        </w:rPr>
        <w:t>单位人员对绩效工作的认识有待进一步提高。</w:t>
      </w:r>
    </w:p>
    <w:p>
      <w:pPr>
        <w:spacing w:line="580" w:lineRule="exact"/>
        <w:ind w:firstLine="800" w:firstLineChars="250"/>
        <w:rPr>
          <w:rFonts w:eastAsia="仿宋_GB2312"/>
          <w:sz w:val="32"/>
        </w:rPr>
      </w:pPr>
      <w:r>
        <w:rPr>
          <w:rFonts w:hint="eastAsia" w:ascii="仿宋_GB2312" w:hAnsi="仿宋_GB2312" w:eastAsia="仿宋_GB2312" w:cs="仿宋_GB2312"/>
          <w:sz w:val="32"/>
          <w:szCs w:val="32"/>
          <w:highlight w:val="none"/>
        </w:rPr>
        <w:t>我所</w:t>
      </w:r>
      <w:r>
        <w:rPr>
          <w:rFonts w:hint="eastAsia" w:ascii="仿宋_GB2312" w:hAnsi="仿宋_GB2312" w:eastAsia="仿宋_GB2312" w:cs="仿宋_GB2312"/>
          <w:sz w:val="32"/>
          <w:szCs w:val="32"/>
        </w:rPr>
        <w:t>干部职工对绩效评价工作的专业知识和框架体系熟悉度不够，对绩效评价的实际参与工作内容还需要进一步加强动员，</w:t>
      </w:r>
      <w:r>
        <w:rPr>
          <w:rFonts w:hint="eastAsia" w:eastAsia="仿宋_GB2312"/>
          <w:sz w:val="32"/>
        </w:rPr>
        <w:t>在一定程度上影响了绩效评价工作质量。</w:t>
      </w:r>
    </w:p>
    <w:p>
      <w:pPr>
        <w:spacing w:line="580" w:lineRule="exact"/>
        <w:ind w:firstLine="803" w:firstLineChars="250"/>
        <w:rPr>
          <w:rFonts w:ascii="仿宋_GB2312" w:eastAsia="仿宋_GB2312"/>
          <w:sz w:val="32"/>
          <w:szCs w:val="32"/>
        </w:rPr>
      </w:pPr>
      <w:r>
        <w:rPr>
          <w:rFonts w:hint="eastAsia" w:ascii="仿宋_GB2312" w:hAnsi="Calibri" w:eastAsia="仿宋_GB2312"/>
          <w:b/>
          <w:bCs/>
          <w:color w:val="000000"/>
          <w:sz w:val="32"/>
          <w:szCs w:val="32"/>
        </w:rPr>
        <w:t>改进措施：</w:t>
      </w:r>
      <w:r>
        <w:rPr>
          <w:rFonts w:hint="eastAsia" w:eastAsia="仿宋_GB2312"/>
          <w:sz w:val="32"/>
        </w:rPr>
        <w:t>我所将增强内部培训力度，通过进行多方位多层次的学习培训，采取邀请专家讲课、财政部门辅导和案例剖析等方式，不断提升绩效人员业务能力，努力提高相关人员素质，真正将预算绩效管理工作落实到位。</w:t>
      </w:r>
    </w:p>
    <w:p>
      <w:pPr>
        <w:spacing w:line="580" w:lineRule="exact"/>
        <w:ind w:firstLine="800" w:firstLineChars="250"/>
        <w:rPr>
          <w:rFonts w:ascii="楷体" w:hAnsi="楷体" w:eastAsia="楷体"/>
          <w:b/>
          <w:sz w:val="32"/>
          <w:szCs w:val="32"/>
        </w:rPr>
      </w:pPr>
      <w:r>
        <w:rPr>
          <w:rFonts w:hint="eastAsia" w:ascii="楷体" w:hAnsi="楷体" w:eastAsia="楷体"/>
          <w:b w:val="0"/>
          <w:bCs/>
          <w:sz w:val="32"/>
          <w:szCs w:val="32"/>
        </w:rPr>
        <w:t>（三）后续工作计划、相关建议等</w:t>
      </w:r>
      <w:r>
        <w:rPr>
          <w:rFonts w:hint="eastAsia" w:ascii="楷体" w:hAnsi="楷体" w:eastAsia="楷体"/>
          <w:b/>
          <w:sz w:val="32"/>
          <w:szCs w:val="32"/>
        </w:rPr>
        <w:t>。</w:t>
      </w:r>
    </w:p>
    <w:p>
      <w:pPr>
        <w:spacing w:line="580" w:lineRule="exact"/>
        <w:ind w:firstLine="800" w:firstLineChars="250"/>
        <w:rPr>
          <w:rFonts w:ascii="仿宋_GB2312" w:eastAsia="仿宋_GB2312"/>
          <w:sz w:val="32"/>
          <w:szCs w:val="32"/>
          <w:highlight w:val="none"/>
        </w:rPr>
      </w:pPr>
      <w:r>
        <w:rPr>
          <w:rFonts w:hint="eastAsia" w:ascii="仿宋_GB2312" w:eastAsia="仿宋_GB2312"/>
          <w:sz w:val="32"/>
          <w:szCs w:val="32"/>
          <w:highlight w:val="none"/>
        </w:rPr>
        <w:t>1.工作计划</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（1）建立重大政策和新增项目事前绩效评估机制。贯彻落实《中共中央</w:t>
      </w:r>
      <w:r>
        <w:rPr>
          <w:rFonts w:hint="eastAsia" w:ascii="仿宋_GB2312" w:eastAsia="仿宋_GB2312"/>
          <w:sz w:val="32"/>
          <w:szCs w:val="32"/>
          <w:lang w:val="en-US" w:eastAsia="zh-CN"/>
        </w:rPr>
        <w:t xml:space="preserve"> </w:t>
      </w:r>
      <w:r>
        <w:rPr>
          <w:rFonts w:hint="eastAsia" w:ascii="仿宋_GB2312" w:eastAsia="仿宋_GB2312"/>
          <w:sz w:val="32"/>
          <w:szCs w:val="32"/>
        </w:rPr>
        <w:t>国务院关于全面实施预算绩效管理的意见》精神，针对我所当年度所有新增项目和新出台的重大政策，从项目立项必要性、投入经济性、绩效目标合理性、实施方案可行性、筹资合规性等五个方面实施开展事前绩效评估，逐步实现事前绩效评估项目全覆盖，与项目预算同步编制、同步报送、同步审核、同步评估，推进绩效关口前移，从源头实现绩效管理和预算一体化，提高预算编制的科学性和精准性。</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（2）完善项目事中绩效目标监控机制。各部门作为项目实施责任主体，对绩效目标完成情况以及预算执行情况负责，在项目执行过程中，如遇外部政策调整、全球经济形势变化或其他不可抗拒</w:t>
      </w:r>
      <w:r>
        <w:rPr>
          <w:rFonts w:hint="eastAsia" w:ascii="仿宋_GB2312" w:eastAsia="仿宋_GB2312"/>
          <w:sz w:val="32"/>
          <w:szCs w:val="32"/>
          <w:highlight w:val="none"/>
        </w:rPr>
        <w:t>因素</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如</w:t>
      </w:r>
      <w:r>
        <w:rPr>
          <w:rFonts w:hint="eastAsia" w:ascii="仿宋_GB2312" w:eastAsia="仿宋_GB2312"/>
          <w:sz w:val="32"/>
          <w:szCs w:val="32"/>
        </w:rPr>
        <w:t>新冠肺炎</w:t>
      </w:r>
      <w:r>
        <w:rPr>
          <w:rFonts w:hint="eastAsia" w:ascii="仿宋_GB2312" w:eastAsia="仿宋_GB2312"/>
          <w:sz w:val="32"/>
          <w:szCs w:val="32"/>
          <w:lang w:val="en-US" w:eastAsia="zh-CN"/>
        </w:rPr>
        <w:t>疫情</w:t>
      </w:r>
      <w:r>
        <w:rPr>
          <w:rFonts w:hint="eastAsia" w:ascii="仿宋_GB2312" w:eastAsia="仿宋_GB2312"/>
          <w:sz w:val="32"/>
          <w:szCs w:val="32"/>
        </w:rPr>
        <w:t>等导致绩效目标无法完成时，及时主动调整绩效目标或申请收回、撤销、压减预算资金，以保证项目预期效果的有效实现。</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（3）建立预算绩效管理制度。根据《中华人民共和国预算法》《中共中央</w:t>
      </w:r>
      <w:r>
        <w:rPr>
          <w:rFonts w:hint="eastAsia" w:ascii="仿宋_GB2312" w:eastAsia="仿宋_GB2312"/>
          <w:sz w:val="32"/>
          <w:szCs w:val="32"/>
          <w:lang w:val="en-US" w:eastAsia="zh-CN"/>
        </w:rPr>
        <w:t xml:space="preserve"> </w:t>
      </w:r>
      <w:r>
        <w:rPr>
          <w:rFonts w:hint="eastAsia" w:ascii="仿宋_GB2312" w:eastAsia="仿宋_GB2312"/>
          <w:sz w:val="32"/>
          <w:szCs w:val="32"/>
        </w:rPr>
        <w:t>国务院关于全面实施预算绩效管理的意见》（中发〔2018〕34号）《中共深圳市委办公厅 深圳市人民政府办公厅印发&lt;关于进一步深化预算管理改革强化预算绩效管理意见&gt;的通知》（深办发〔2018〕32号）《深圳市财政局关于贯彻落实全面实施预算绩效管理有关事项的通知》（深财绩〔2019〕5号）等规定，结合我所实际，制定预算绩效管理制度，并在单位内部正式发文，指导各部门开展相关工作。</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2.对预算绩效管理的相关建议</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（1）建议新区</w:t>
      </w:r>
      <w:r>
        <w:rPr>
          <w:rFonts w:hint="eastAsia" w:ascii="仿宋_GB2312" w:eastAsia="仿宋_GB2312"/>
          <w:sz w:val="32"/>
          <w:szCs w:val="32"/>
          <w:lang w:eastAsia="zh-CN"/>
        </w:rPr>
        <w:t>发展和</w:t>
      </w:r>
      <w:r>
        <w:rPr>
          <w:rFonts w:hint="eastAsia" w:ascii="仿宋_GB2312" w:eastAsia="仿宋_GB2312"/>
          <w:sz w:val="32"/>
          <w:szCs w:val="32"/>
        </w:rPr>
        <w:t>财政</w:t>
      </w:r>
      <w:r>
        <w:rPr>
          <w:rFonts w:hint="eastAsia" w:ascii="仿宋_GB2312" w:eastAsia="仿宋_GB2312"/>
          <w:sz w:val="32"/>
          <w:szCs w:val="32"/>
          <w:lang w:eastAsia="zh-CN"/>
        </w:rPr>
        <w:t>局</w:t>
      </w:r>
      <w:r>
        <w:rPr>
          <w:rFonts w:hint="eastAsia" w:ascii="仿宋_GB2312" w:eastAsia="仿宋_GB2312"/>
          <w:sz w:val="32"/>
          <w:szCs w:val="32"/>
        </w:rPr>
        <w:t>开展预算绩效管理培训，注重实操性讲解和案例分享。对预算绩效目标设定的方法、各项指标的定义、各类指标评价体系的构建思路以及自评报告的各个侧重点进行</w:t>
      </w:r>
      <w:bookmarkStart w:id="0" w:name="_GoBack"/>
      <w:r>
        <w:rPr>
          <w:rFonts w:hint="eastAsia" w:ascii="仿宋_GB2312" w:eastAsia="仿宋_GB2312"/>
          <w:sz w:val="32"/>
          <w:szCs w:val="32"/>
        </w:rPr>
        <w:t>详细</w:t>
      </w:r>
      <w:bookmarkEnd w:id="0"/>
      <w:r>
        <w:rPr>
          <w:rFonts w:hint="eastAsia" w:ascii="仿宋_GB2312" w:eastAsia="仿宋_GB2312"/>
          <w:sz w:val="32"/>
          <w:szCs w:val="32"/>
        </w:rPr>
        <w:t>讲解。另外，可选出几家优秀的单位作为示范，组建全区预算绩效管理工作的交流会，各单位相互交流预算绩效管理经验，相互学习，共同促进预算绩效管理工作。</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（2）建议新区</w:t>
      </w:r>
      <w:r>
        <w:rPr>
          <w:rFonts w:hint="eastAsia" w:ascii="仿宋_GB2312" w:eastAsia="仿宋_GB2312"/>
          <w:sz w:val="32"/>
          <w:szCs w:val="32"/>
          <w:lang w:eastAsia="zh-CN"/>
        </w:rPr>
        <w:t>发展和</w:t>
      </w:r>
      <w:r>
        <w:rPr>
          <w:rFonts w:hint="eastAsia" w:ascii="仿宋_GB2312" w:eastAsia="仿宋_GB2312"/>
          <w:sz w:val="32"/>
          <w:szCs w:val="32"/>
        </w:rPr>
        <w:t>财政</w:t>
      </w:r>
      <w:r>
        <w:rPr>
          <w:rFonts w:hint="eastAsia" w:ascii="仿宋_GB2312" w:eastAsia="仿宋_GB2312"/>
          <w:sz w:val="32"/>
          <w:szCs w:val="32"/>
          <w:lang w:eastAsia="zh-CN"/>
        </w:rPr>
        <w:t>局</w:t>
      </w:r>
      <w:r>
        <w:rPr>
          <w:rFonts w:hint="eastAsia" w:ascii="仿宋_GB2312" w:eastAsia="仿宋_GB2312"/>
          <w:sz w:val="32"/>
          <w:szCs w:val="32"/>
        </w:rPr>
        <w:t>针对全区通用类项目设立绩效指标库。例如单位运行保障经费、人事党务管理经费、预算准备金等通用类项目，构建全区可参考的绩效指标库，有利于提高指标编制的准确性和效率性。</w:t>
      </w:r>
    </w:p>
    <w:p>
      <w:pPr>
        <w:spacing w:line="580" w:lineRule="exact"/>
        <w:ind w:firstLine="800" w:firstLineChars="250"/>
        <w:rPr>
          <w:rFonts w:ascii="仿宋_GB2312" w:eastAsia="仿宋_GB2312"/>
          <w:sz w:val="32"/>
          <w:szCs w:val="32"/>
        </w:rPr>
      </w:pPr>
      <w:r>
        <w:rPr>
          <w:rFonts w:hint="eastAsia" w:ascii="仿宋_GB2312" w:eastAsia="仿宋_GB2312"/>
          <w:sz w:val="32"/>
          <w:szCs w:val="32"/>
        </w:rPr>
        <w:t>（3）加快推进绩效评价结果的应用。一是，通过对部门自评结果和财政评价结果的分析，查找资金管理存在的问题，进行科学分析，建立整改机制，加强资金管理。二是，将绩效评价结果与资金分配使用紧密结合，逐步形成科学公正的资金分配使用激励约束机制，提高资金申报的科学性，强化预算单位的支出责任和绩效意识。</w:t>
      </w:r>
    </w:p>
    <w:p>
      <w:pPr>
        <w:spacing w:line="580" w:lineRule="exact"/>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spacing w:line="580" w:lineRule="exact"/>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r>
        <w:rPr>
          <w:rFonts w:hint="eastAsia" w:ascii="仿宋_GB2312" w:eastAsia="仿宋_GB2312"/>
          <w:sz w:val="32"/>
          <w:szCs w:val="32"/>
        </w:rPr>
        <w:t>参照《部门整体支出绩效评价共性指标体系框架（2020修订）》进行自评，填报得分情况。</w:t>
      </w: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10"/>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部门（单位）预算的合理性，即是否符合本部门职责、是否符合新区党工委、管委会的方针政策和工作要求，资金有无根据项目的轻重缓急进行分配。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部门预算编制、分配符合本部门职责、符合新区党工委、管委会方针政策和工作要求（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jc w:val="left"/>
              <w:rPr>
                <w:rFonts w:ascii="宋体" w:hAnsi="宋体" w:cs="宋体"/>
                <w:kern w:val="0"/>
              </w:rPr>
            </w:pPr>
            <w:r>
              <w:rPr>
                <w:rFonts w:hint="eastAsia" w:ascii="宋体" w:hAnsi="宋体" w:cs="宋体"/>
                <w:kern w:val="0"/>
              </w:rPr>
              <w:t>扣分原因：年初</w:t>
            </w:r>
            <w:r>
              <w:rPr>
                <w:rFonts w:ascii="宋体" w:hAnsi="宋体" w:cs="宋体"/>
                <w:kern w:val="0"/>
              </w:rPr>
              <w:t>预算绩效目标和绩效指标设置</w:t>
            </w:r>
            <w:r>
              <w:rPr>
                <w:rFonts w:hint="eastAsia" w:ascii="宋体" w:hAnsi="宋体" w:cs="宋体"/>
                <w:kern w:val="0"/>
              </w:rPr>
              <w:t>细化、</w:t>
            </w:r>
            <w:r>
              <w:rPr>
                <w:rFonts w:hint="eastAsia" w:ascii="宋体" w:hAnsi="宋体" w:cs="宋体"/>
                <w:kern w:val="0"/>
                <w:highlight w:val="none"/>
              </w:rPr>
              <w:t>量化程度不足</w:t>
            </w:r>
            <w:r>
              <w:rPr>
                <w:rFonts w:hint="eastAsia" w:ascii="宋体" w:hAnsi="宋体" w:cs="宋体"/>
                <w:kern w:val="0"/>
                <w:highlight w:val="none"/>
                <w:lang w:eastAsia="zh-CN"/>
              </w:rPr>
              <w:t>。</w:t>
            </w:r>
            <w:r>
              <w:rPr>
                <w:rFonts w:hint="eastAsia" w:ascii="宋体" w:hAnsi="宋体" w:cs="宋体"/>
                <w:kern w:val="0"/>
              </w:rPr>
              <w:t xml:space="preserve">               改进措施：落实“谁使用资金，谁编制目标”的原则，根据部门及项目实际情况，</w:t>
            </w:r>
            <w:r>
              <w:rPr>
                <w:rFonts w:ascii="宋体" w:hAnsi="宋体" w:cs="宋体"/>
                <w:kern w:val="0"/>
              </w:rPr>
              <w:t>细化量化绩效目标</w:t>
            </w:r>
            <w:r>
              <w:rPr>
                <w:rFonts w:hint="eastAsia" w:ascii="宋体" w:hAnsi="宋体" w:cs="宋体"/>
                <w:kern w:val="0"/>
              </w:rPr>
              <w:t>。</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0</w:t>
            </w:r>
          </w:p>
        </w:tc>
        <w:tc>
          <w:tcPr>
            <w:tcW w:w="2297" w:type="dxa"/>
            <w:tcBorders>
              <w:top w:val="single" w:color="auto" w:sz="4" w:space="0"/>
              <w:left w:val="nil"/>
              <w:bottom w:val="single" w:color="auto" w:sz="4" w:space="0"/>
              <w:right w:val="single" w:color="auto" w:sz="4" w:space="0"/>
            </w:tcBorders>
          </w:tcPr>
          <w:p>
            <w:pPr>
              <w:widowControl/>
              <w:spacing w:line="300" w:lineRule="exact"/>
              <w:rPr>
                <w:rFonts w:ascii="宋体" w:hAnsi="宋体" w:cs="宋体"/>
                <w:kern w:val="0"/>
              </w:rPr>
            </w:pPr>
            <w:r>
              <w:rPr>
                <w:rFonts w:hint="eastAsia" w:ascii="宋体" w:hAnsi="宋体" w:cs="宋体"/>
                <w:kern w:val="0"/>
              </w:rPr>
              <w:t>扣分原因：根据我单位需履行职能，现有在编人员数远远不够，经上级批准同意增加业务所需编外人员。               改进措施：根据业务规模限定编外人员数量。</w:t>
            </w: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4</w:t>
            </w:r>
          </w:p>
        </w:tc>
        <w:tc>
          <w:tcPr>
            <w:tcW w:w="2297" w:type="dxa"/>
            <w:tcBorders>
              <w:top w:val="nil"/>
              <w:left w:val="nil"/>
              <w:bottom w:val="single" w:color="auto" w:sz="4" w:space="0"/>
              <w:right w:val="single" w:color="auto" w:sz="4" w:space="0"/>
            </w:tcBorders>
          </w:tcPr>
          <w:p>
            <w:pPr>
              <w:widowControl/>
              <w:spacing w:line="300" w:lineRule="exact"/>
              <w:rPr>
                <w:rFonts w:ascii="宋体" w:hAnsi="宋体" w:cs="宋体"/>
                <w:kern w:val="0"/>
              </w:rPr>
            </w:pPr>
            <w:r>
              <w:rPr>
                <w:rFonts w:hint="eastAsia" w:ascii="宋体" w:hAnsi="宋体" w:cs="宋体"/>
                <w:kern w:val="0"/>
              </w:rPr>
              <w:t>扣分原因：2020年日常公用经费控制率为100%,日常公用经费控制情况良好，但公用经费压减力度不足。</w:t>
            </w:r>
          </w:p>
          <w:p>
            <w:pPr>
              <w:widowControl/>
              <w:spacing w:line="300" w:lineRule="exact"/>
              <w:rPr>
                <w:rFonts w:hint="eastAsia" w:ascii="宋体" w:hAnsi="宋体" w:eastAsia="宋体" w:cs="宋体"/>
                <w:kern w:val="0"/>
                <w:lang w:eastAsia="zh-CN"/>
              </w:rPr>
            </w:pPr>
            <w:r>
              <w:rPr>
                <w:rFonts w:hint="eastAsia" w:ascii="宋体" w:hAnsi="宋体" w:cs="宋体"/>
                <w:kern w:val="0"/>
              </w:rPr>
              <w:t>改进措施：强化厉行节约意识，进一步压减一</w:t>
            </w:r>
            <w:r>
              <w:rPr>
                <w:rFonts w:hint="eastAsia" w:ascii="宋体" w:hAnsi="宋体" w:cs="宋体"/>
                <w:kern w:val="0"/>
                <w:highlight w:val="none"/>
              </w:rPr>
              <w:t>般性支出</w:t>
            </w:r>
            <w:r>
              <w:rPr>
                <w:rFonts w:hint="eastAsia" w:ascii="宋体" w:hAnsi="宋体" w:cs="宋体"/>
                <w:kern w:val="0"/>
                <w:highlight w:val="none"/>
                <w:lang w:eastAsia="zh-CN"/>
              </w:rPr>
              <w:t>。</w:t>
            </w:r>
          </w:p>
          <w:p>
            <w:pPr>
              <w:widowControl/>
              <w:spacing w:line="300" w:lineRule="exact"/>
              <w:rPr>
                <w:rFonts w:ascii="宋体" w:hAnsi="宋体" w:cs="宋体"/>
                <w:kern w:val="0"/>
              </w:rPr>
            </w:pPr>
          </w:p>
          <w:p>
            <w:pPr>
              <w:widowControl/>
              <w:spacing w:line="300" w:lineRule="exact"/>
              <w:rPr>
                <w:rFonts w:ascii="宋体" w:hAnsi="宋体" w:cs="宋体"/>
                <w:kern w:val="0"/>
              </w:rPr>
            </w:pPr>
          </w:p>
          <w:p>
            <w:pPr>
              <w:widowControl/>
              <w:spacing w:line="300" w:lineRule="exact"/>
              <w:rPr>
                <w:rFonts w:ascii="宋体" w:hAnsi="宋体" w:cs="宋体"/>
                <w:kern w:val="0"/>
              </w:rPr>
            </w:pP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5.41</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扣分原因：按照此计算公式，每季度预算执行率均得100%方能不扣。               改进措施：强化预算执行进度及目标“双监控”，实时掌控预算项目资金支出进度及绩效目标完成情况，一旦发生偏离及时采取应对措施。</w:t>
            </w:r>
          </w:p>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重点工作是指中央和省、市相关部门、新区党工委、管委会交办或下达的工作任务。全部按期保质保量完成得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注：重点工作完成情况可以参考新区党工委、管委会督查部门或其他权威部门的统计数据（如有）。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rPr>
                <w:rFonts w:ascii="宋体" w:hAnsi="宋体" w:cs="宋体"/>
                <w:kern w:val="0"/>
              </w:rPr>
            </w:pPr>
            <w:r>
              <w:rPr>
                <w:rFonts w:hint="eastAsia" w:ascii="宋体" w:hAnsi="宋体" w:cs="宋体"/>
                <w:kern w:val="0"/>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rPr>
                <w:rFonts w:ascii="宋体" w:hAnsi="宋体" w:cs="宋体"/>
                <w:kern w:val="0"/>
              </w:rPr>
            </w:pPr>
            <w:r>
              <w:rPr>
                <w:rFonts w:hint="eastAsia" w:ascii="宋体" w:hAnsi="宋体" w:cs="宋体"/>
                <w:kern w:val="0"/>
              </w:rPr>
              <w:t>根据部门（部门）履职内容和性质，从社会效益、经济效益、生态效益、可持续影响等方面，至少选择三个方面对工作实效和效益进行评价。</w:t>
            </w:r>
          </w:p>
          <w:p>
            <w:pPr>
              <w:widowControl/>
              <w:numPr>
                <w:ilvl w:val="0"/>
                <w:numId w:val="1"/>
              </w:numPr>
              <w:spacing w:line="320" w:lineRule="exact"/>
              <w:ind w:firstLine="405"/>
              <w:rPr>
                <w:rFonts w:ascii="宋体" w:hAnsi="宋体" w:cs="宋体"/>
                <w:kern w:val="0"/>
              </w:rPr>
            </w:pPr>
            <w:r>
              <w:rPr>
                <w:rFonts w:hint="eastAsia" w:ascii="宋体" w:hAnsi="宋体" w:cs="宋体"/>
                <w:kern w:val="0"/>
              </w:rPr>
              <w:t>以“美丽大鹏”为工作目标，把监督工作做优、“行政执法全过程记录”工作做强，“</w:t>
            </w:r>
            <w:r>
              <w:rPr>
                <w:rFonts w:hint="default" w:ascii="宋体" w:hAnsi="宋体" w:cs="宋体"/>
                <w:kern w:val="0"/>
                <w:lang w:val="en"/>
              </w:rPr>
              <w:t>双随机、一公开</w:t>
            </w:r>
            <w:r>
              <w:rPr>
                <w:rFonts w:hint="eastAsia" w:ascii="宋体" w:hAnsi="宋体" w:cs="宋体"/>
                <w:kern w:val="0"/>
              </w:rPr>
              <w:t>”监督执法工作做实，积极推进</w:t>
            </w:r>
            <w:r>
              <w:rPr>
                <w:rFonts w:hint="eastAsia" w:ascii="宋体" w:hAnsi="宋体" w:cs="宋体"/>
                <w:kern w:val="0"/>
                <w:lang w:val="en-US" w:eastAsia="zh-CN"/>
              </w:rPr>
              <w:t>新区管委会</w:t>
            </w:r>
            <w:r>
              <w:rPr>
                <w:rFonts w:hint="eastAsia" w:ascii="宋体" w:hAnsi="宋体" w:cs="宋体"/>
                <w:kern w:val="0"/>
              </w:rPr>
              <w:t>卫生监督“协管”和“网格化管理”工作的落实；（7分）</w:t>
            </w:r>
          </w:p>
          <w:p>
            <w:pPr>
              <w:widowControl/>
              <w:numPr>
                <w:ilvl w:val="0"/>
                <w:numId w:val="1"/>
              </w:numPr>
              <w:spacing w:line="320" w:lineRule="exact"/>
              <w:ind w:firstLine="405"/>
              <w:rPr>
                <w:rFonts w:ascii="宋体" w:hAnsi="宋体" w:cs="宋体"/>
                <w:kern w:val="0"/>
              </w:rPr>
            </w:pPr>
            <w:r>
              <w:rPr>
                <w:rFonts w:hint="eastAsia" w:ascii="宋体" w:hAnsi="宋体" w:cs="宋体"/>
                <w:kern w:val="0"/>
              </w:rPr>
              <w:t>继续抓好卫生监督体系建设、信息化建设和人员队伍的素质建设；（7分）</w:t>
            </w:r>
          </w:p>
          <w:p>
            <w:pPr>
              <w:widowControl/>
              <w:numPr>
                <w:ilvl w:val="0"/>
                <w:numId w:val="1"/>
              </w:numPr>
              <w:spacing w:line="320" w:lineRule="exact"/>
              <w:ind w:firstLine="405"/>
              <w:rPr>
                <w:rFonts w:ascii="宋体" w:hAnsi="宋体" w:cs="宋体"/>
                <w:kern w:val="0"/>
              </w:rPr>
            </w:pPr>
            <w:r>
              <w:rPr>
                <w:rFonts w:hint="eastAsia" w:ascii="宋体" w:hAnsi="宋体" w:cs="宋体"/>
                <w:kern w:val="0"/>
              </w:rPr>
              <w:t>进一步提高人员执法能力水平和各专业服务质量，树好导向，带好队伍，不忘初心</w:t>
            </w:r>
            <w:r>
              <w:rPr>
                <w:rFonts w:hint="default" w:ascii="宋体" w:hAnsi="宋体" w:cs="宋体"/>
                <w:kern w:val="0"/>
              </w:rPr>
              <w:t>、</w:t>
            </w:r>
            <w:r>
              <w:rPr>
                <w:rFonts w:hint="eastAsia" w:ascii="宋体" w:hAnsi="宋体" w:cs="宋体"/>
                <w:kern w:val="0"/>
              </w:rPr>
              <w:t>牢记使命，扎实完成各项指标任务，集中优势力量实现个别专业或工作有新突破，确保大鹏卫生监督体系可持续健康发展。（6分）</w:t>
            </w:r>
          </w:p>
        </w:tc>
        <w:tc>
          <w:tcPr>
            <w:tcW w:w="822" w:type="dxa"/>
            <w:tcBorders>
              <w:top w:val="nil"/>
              <w:left w:val="nil"/>
              <w:bottom w:val="single" w:color="auto" w:sz="4" w:space="0"/>
              <w:right w:val="single" w:color="auto" w:sz="4" w:space="0"/>
            </w:tcBorders>
            <w:vAlign w:val="center"/>
          </w:tcPr>
          <w:p>
            <w:pPr>
              <w:widowControl/>
              <w:spacing w:line="320" w:lineRule="exact"/>
              <w:rPr>
                <w:rFonts w:ascii="宋体" w:hAnsi="宋体" w:cs="宋体"/>
                <w:kern w:val="0"/>
              </w:rPr>
            </w:pPr>
            <w:r>
              <w:rPr>
                <w:rFonts w:hint="eastAsia" w:ascii="宋体" w:hAnsi="宋体" w:cs="宋体"/>
                <w:kern w:val="0"/>
              </w:rPr>
              <w:t>20</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849"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开展</w:t>
            </w:r>
            <w:r>
              <w:rPr>
                <w:rFonts w:hint="eastAsia" w:ascii="宋体" w:hAnsi="宋体" w:cs="宋体"/>
                <w:kern w:val="0"/>
                <w:lang w:eastAsia="zh-CN"/>
              </w:rPr>
              <w:t>的</w:t>
            </w:r>
            <w:r>
              <w:rPr>
                <w:rFonts w:hint="eastAsia" w:ascii="宋体" w:hAnsi="宋体" w:cs="宋体"/>
                <w:kern w:val="0"/>
              </w:rPr>
              <w:t>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95.41</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p>
      <w:pPr>
        <w:rPr>
          <w:sz w:val="18"/>
          <w:szCs w:val="18"/>
        </w:rPr>
      </w:pP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MmZjNWM5OTJlNjdlZWY2M2RkMDg4MjdkOWM4ZjYifQ=="/>
  </w:docVars>
  <w:rsids>
    <w:rsidRoot w:val="00000000"/>
    <w:rsid w:val="000213FB"/>
    <w:rsid w:val="00952A1E"/>
    <w:rsid w:val="026557C9"/>
    <w:rsid w:val="029344DB"/>
    <w:rsid w:val="02AE43EB"/>
    <w:rsid w:val="06AB23F2"/>
    <w:rsid w:val="091D29CF"/>
    <w:rsid w:val="0A8918AB"/>
    <w:rsid w:val="0B7931D2"/>
    <w:rsid w:val="0BAD662A"/>
    <w:rsid w:val="0CE11B0C"/>
    <w:rsid w:val="0F365951"/>
    <w:rsid w:val="0F760FFB"/>
    <w:rsid w:val="11E3565E"/>
    <w:rsid w:val="12EF45FF"/>
    <w:rsid w:val="13723F20"/>
    <w:rsid w:val="14510EE5"/>
    <w:rsid w:val="16DA5FEC"/>
    <w:rsid w:val="17F96023"/>
    <w:rsid w:val="182A3931"/>
    <w:rsid w:val="1C387F50"/>
    <w:rsid w:val="2184486D"/>
    <w:rsid w:val="23217C20"/>
    <w:rsid w:val="259117CF"/>
    <w:rsid w:val="27BE31A0"/>
    <w:rsid w:val="28502527"/>
    <w:rsid w:val="2B1C685F"/>
    <w:rsid w:val="2B2E137D"/>
    <w:rsid w:val="2C80000E"/>
    <w:rsid w:val="2D6C00F8"/>
    <w:rsid w:val="2F2214A7"/>
    <w:rsid w:val="30AD4821"/>
    <w:rsid w:val="332C6C36"/>
    <w:rsid w:val="340B0E0B"/>
    <w:rsid w:val="34436FC8"/>
    <w:rsid w:val="34506FFA"/>
    <w:rsid w:val="348E72B9"/>
    <w:rsid w:val="358E4B29"/>
    <w:rsid w:val="359D1E0D"/>
    <w:rsid w:val="367632A5"/>
    <w:rsid w:val="36976C08"/>
    <w:rsid w:val="37710DBF"/>
    <w:rsid w:val="3913403C"/>
    <w:rsid w:val="4037645F"/>
    <w:rsid w:val="41AE50B1"/>
    <w:rsid w:val="424143DD"/>
    <w:rsid w:val="44850DB1"/>
    <w:rsid w:val="461D2B8C"/>
    <w:rsid w:val="48234835"/>
    <w:rsid w:val="487749E1"/>
    <w:rsid w:val="49044A93"/>
    <w:rsid w:val="4AB60768"/>
    <w:rsid w:val="4B6B51CB"/>
    <w:rsid w:val="4BD57881"/>
    <w:rsid w:val="4CA21D18"/>
    <w:rsid w:val="4D8A2250"/>
    <w:rsid w:val="4E53585F"/>
    <w:rsid w:val="55D607E8"/>
    <w:rsid w:val="56876EA0"/>
    <w:rsid w:val="56EC6E80"/>
    <w:rsid w:val="56FFA0B3"/>
    <w:rsid w:val="58954239"/>
    <w:rsid w:val="589A2CAA"/>
    <w:rsid w:val="5A187D49"/>
    <w:rsid w:val="621E16BA"/>
    <w:rsid w:val="62AE34A6"/>
    <w:rsid w:val="637A6BE9"/>
    <w:rsid w:val="64197E9B"/>
    <w:rsid w:val="64B30BEE"/>
    <w:rsid w:val="65294222"/>
    <w:rsid w:val="67BF05EE"/>
    <w:rsid w:val="687C65BB"/>
    <w:rsid w:val="6DE12D7F"/>
    <w:rsid w:val="713A023E"/>
    <w:rsid w:val="713E5182"/>
    <w:rsid w:val="71D1490F"/>
    <w:rsid w:val="722E2E7F"/>
    <w:rsid w:val="72870EA9"/>
    <w:rsid w:val="731B7F8B"/>
    <w:rsid w:val="737D05BE"/>
    <w:rsid w:val="74070C8D"/>
    <w:rsid w:val="752EC2E3"/>
    <w:rsid w:val="75DF8D4A"/>
    <w:rsid w:val="78745AB6"/>
    <w:rsid w:val="792D4236"/>
    <w:rsid w:val="79B90C56"/>
    <w:rsid w:val="7AD274BF"/>
    <w:rsid w:val="7B981C25"/>
    <w:rsid w:val="7D702A70"/>
    <w:rsid w:val="7DCD2158"/>
    <w:rsid w:val="7DFF8B8F"/>
    <w:rsid w:val="7F334FF5"/>
    <w:rsid w:val="7F56605F"/>
    <w:rsid w:val="BFDF6814"/>
    <w:rsid w:val="FD3FB6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customStyle="1" w:styleId="2">
    <w:name w:val="BodyText"/>
    <w:basedOn w:val="1"/>
    <w:next w:val="3"/>
    <w:qFormat/>
    <w:uiPriority w:val="0"/>
    <w:pPr>
      <w:spacing w:after="120"/>
      <w:textAlignment w:val="baseline"/>
    </w:pPr>
  </w:style>
  <w:style w:type="paragraph" w:styleId="3">
    <w:name w:val="Title"/>
    <w:basedOn w:val="1"/>
    <w:next w:val="1"/>
    <w:qFormat/>
    <w:uiPriority w:val="10"/>
    <w:pPr>
      <w:spacing w:before="240" w:after="60"/>
      <w:jc w:val="center"/>
      <w:outlineLvl w:val="0"/>
    </w:pPr>
    <w:rPr>
      <w:rFonts w:ascii="Cambria" w:hAnsi="Cambria" w:cs="Times New Roman"/>
      <w:b/>
      <w:bCs/>
      <w:szCs w:val="32"/>
    </w:rPr>
  </w:style>
  <w:style w:type="paragraph" w:styleId="4">
    <w:name w:val="Body Text"/>
    <w:basedOn w:val="1"/>
    <w:qFormat/>
    <w:uiPriority w:val="99"/>
    <w:pPr>
      <w:jc w:val="center"/>
    </w:pPr>
    <w:rPr>
      <w:rFonts w:ascii="宋体"/>
      <w:sz w:val="44"/>
    </w:rPr>
  </w:style>
  <w:style w:type="paragraph" w:styleId="5">
    <w:name w:val="Balloon Text"/>
    <w:basedOn w:val="1"/>
    <w:link w:val="12"/>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jc w:val="left"/>
    </w:pPr>
    <w:rPr>
      <w:kern w:val="0"/>
      <w:sz w:val="24"/>
      <w:szCs w:val="20"/>
    </w:rPr>
  </w:style>
  <w:style w:type="paragraph" w:styleId="9">
    <w:name w:val="Body Text First Indent"/>
    <w:basedOn w:val="4"/>
    <w:qFormat/>
    <w:uiPriority w:val="99"/>
    <w:pPr>
      <w:ind w:firstLine="420" w:firstLineChars="100"/>
    </w:pPr>
  </w:style>
  <w:style w:type="character" w:customStyle="1" w:styleId="12">
    <w:name w:val="批注框文本 Char"/>
    <w:basedOn w:val="11"/>
    <w:link w:val="5"/>
    <w:qFormat/>
    <w:uiPriority w:val="99"/>
    <w:rPr>
      <w:rFonts w:ascii="Times New Roman" w:hAnsi="Times New Roman" w:eastAsia="宋体" w:cs="Times New Roman"/>
      <w:sz w:val="18"/>
      <w:szCs w:val="18"/>
    </w:rPr>
  </w:style>
  <w:style w:type="character" w:customStyle="1" w:styleId="13">
    <w:name w:val="页眉 Char"/>
    <w:basedOn w:val="11"/>
    <w:link w:val="7"/>
    <w:qFormat/>
    <w:uiPriority w:val="99"/>
    <w:rPr>
      <w:rFonts w:ascii="Times New Roman" w:hAnsi="Times New Roman" w:eastAsia="宋体" w:cs="Times New Roman"/>
      <w:sz w:val="18"/>
      <w:szCs w:val="18"/>
    </w:rPr>
  </w:style>
  <w:style w:type="character" w:customStyle="1" w:styleId="14">
    <w:name w:val="页脚 Char"/>
    <w:basedOn w:val="11"/>
    <w:link w:val="6"/>
    <w:qFormat/>
    <w:uiPriority w:val="99"/>
    <w:rPr>
      <w:rFonts w:ascii="Times New Roman" w:hAnsi="Times New Roman" w:eastAsia="宋体" w:cs="Times New Roman"/>
      <w:sz w:val="18"/>
      <w:szCs w:val="18"/>
    </w:rPr>
  </w:style>
  <w:style w:type="paragraph" w:customStyle="1" w:styleId="15">
    <w:name w:val="0"/>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16">
    <w:name w:val="Body text (2)"/>
    <w:basedOn w:val="1"/>
    <w:qFormat/>
    <w:uiPriority w:val="0"/>
    <w:pPr>
      <w:shd w:val="clear" w:color="auto" w:fill="FFFFFF"/>
      <w:spacing w:before="840" w:after="240" w:line="0" w:lineRule="atLeast"/>
      <w:jc w:val="left"/>
    </w:pPr>
    <w:rPr>
      <w:rFonts w:ascii="宋体" w:hAnsi="宋体" w:eastAsia="宋体" w:cs="宋体"/>
      <w:spacing w:val="2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image" Target="media/image1.png"/><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800" b="1" i="0" u="none" strike="noStrike" kern="1200" baseline="0">
                <a:solidFill>
                  <a:schemeClr val="tx1"/>
                </a:solidFill>
                <a:latin typeface="+mn-lt"/>
                <a:ea typeface="+mn-ea"/>
                <a:cs typeface="+mn-cs"/>
              </a:defRPr>
            </a:pPr>
            <a:r>
              <a:rPr lang="en-US" altLang="zh-CN"/>
              <a:t>2020</a:t>
            </a:r>
            <a:r>
              <a:rPr lang="zh-CN" altLang="en-US"/>
              <a:t>年信访案件来源图</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2020年信访案件来源图</c:v>
                </c:pt>
              </c:strCache>
            </c:strRef>
          </c:tx>
          <c:explosion val="0"/>
          <c:dPt>
            <c:idx val="0"/>
            <c:bubble3D val="0"/>
          </c:dPt>
          <c:dPt>
            <c:idx val="1"/>
            <c:bubble3D val="0"/>
          </c:dPt>
          <c:dLbls>
            <c:dLbl>
              <c:idx val="0"/>
              <c:layout>
                <c:manualLayout>
                  <c:x val="0.00945269884742672"/>
                  <c:y val="-0.0037006802721088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700540910647039"/>
                  <c:y val="0.0827210884353742"/>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horzOverflow="overflow"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上级交办</c:v>
                </c:pt>
                <c:pt idx="1">
                  <c:v>本单位首接</c:v>
                </c:pt>
              </c:strCache>
            </c:strRef>
          </c:cat>
          <c:val>
            <c:numRef>
              <c:f>Sheet1!$B$2:$B$3</c:f>
              <c:numCache>
                <c:formatCode>0.00%</c:formatCode>
                <c:ptCount val="2"/>
                <c:pt idx="0">
                  <c:v>0.818181818181818</c:v>
                </c:pt>
                <c:pt idx="1">
                  <c:v>0.181818181818182</c:v>
                </c:pt>
              </c:numCache>
            </c:numRef>
          </c:val>
        </c:ser>
        <c:dLbls>
          <c:showLegendKey val="0"/>
          <c:showVal val="1"/>
          <c:showCatName val="1"/>
          <c:showSerName val="0"/>
          <c:showPercent val="0"/>
          <c:showBubbleSize val="0"/>
          <c:showLeaderLines val="1"/>
        </c:dLbls>
        <c:firstSliceAng val="0"/>
      </c:pieChart>
      <c:spPr>
        <a:solidFill>
          <a:schemeClr val="bg1"/>
        </a:solidFill>
        <a:ln>
          <a:noFill/>
        </a:ln>
        <a:effectLst/>
      </c:spPr>
    </c:plotArea>
    <c:plotVisOnly val="1"/>
    <c:dispBlanksAs val="zero"/>
    <c:showDLblsOverMax val="0"/>
  </c:chart>
  <c:spPr>
    <a:solidFill>
      <a:schemeClr val="bg1"/>
    </a:solidFill>
    <a:ln w="9525" cap="flat" cmpd="sng" algn="ctr">
      <a:no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horzOverflow="overflow" vert="horz" wrap="square" anchor="ctr" anchorCtr="1"/>
          <a:lstStyle/>
          <a:p>
            <a:pPr>
              <a:defRPr lang="zh-CN" sz="1800" b="1" i="0" u="none" strike="noStrike" kern="1200" baseline="0">
                <a:solidFill>
                  <a:schemeClr val="tx1"/>
                </a:solidFill>
                <a:latin typeface="+mn-lt"/>
                <a:ea typeface="+mn-ea"/>
                <a:cs typeface="+mn-cs"/>
              </a:defRPr>
            </a:pPr>
            <a:r>
              <a:rPr lang="en-US" altLang="en-US"/>
              <a:t>2020</a:t>
            </a:r>
            <a:r>
              <a:rPr lang="zh-CN" altLang="en-US"/>
              <a:t>年</a:t>
            </a:r>
            <a:r>
              <a:rPr altLang="en-US"/>
              <a:t>信访专业分布</a:t>
            </a:r>
            <a:endParaRPr altLang="en-US"/>
          </a:p>
        </c:rich>
      </c:tx>
      <c:layout>
        <c:manualLayout>
          <c:xMode val="edge"/>
          <c:yMode val="edge"/>
          <c:x val="0.261087267525036"/>
          <c:y val="0.0326474622770919"/>
        </c:manualLayout>
      </c:layout>
      <c:overlay val="0"/>
      <c:spPr>
        <a:noFill/>
        <a:ln>
          <a:noFill/>
        </a:ln>
        <a:effectLst/>
      </c:spPr>
    </c:title>
    <c:autoTitleDeleted val="0"/>
    <c:plotArea>
      <c:layout/>
      <c:pieChart>
        <c:varyColors val="1"/>
        <c:ser>
          <c:idx val="0"/>
          <c:order val="0"/>
          <c:tx>
            <c:strRef>
              <c:f>Sheet1!$B$1</c:f>
              <c:strCache>
                <c:ptCount val="1"/>
                <c:pt idx="0">
                  <c:v>2020信访专业分布</c:v>
                </c:pt>
              </c:strCache>
            </c:strRef>
          </c:tx>
          <c:spPr>
            <a:effectLst/>
          </c:spPr>
          <c:explosion val="0"/>
          <c:dPt>
            <c:idx val="0"/>
            <c:bubble3D val="0"/>
            <c:spPr>
              <a:solidFill>
                <a:schemeClr val="accent1"/>
              </a:solidFill>
              <a:ln>
                <a:noFill/>
              </a:ln>
              <a:effectLst/>
            </c:spPr>
          </c:dPt>
          <c:dPt>
            <c:idx val="1"/>
            <c:bubble3D val="0"/>
            <c:spPr>
              <a:effectLst/>
            </c:spPr>
          </c:dPt>
          <c:dPt>
            <c:idx val="2"/>
            <c:bubble3D val="0"/>
            <c:spPr>
              <a:effectLst/>
            </c:spPr>
          </c:dPt>
          <c:dPt>
            <c:idx val="3"/>
            <c:bubble3D val="0"/>
            <c:spPr>
              <a:effectLst/>
            </c:spPr>
          </c:dPt>
          <c:dLbls>
            <c:dLbl>
              <c:idx val="0"/>
              <c:layout>
                <c:manualLayout>
                  <c:x val="0.0755991123427168"/>
                  <c:y val="-0.135869868118337"/>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329951674495624"/>
                  <c:y val="-0.05606385621550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0876967095851212"/>
                  <c:y val="0.0669410150891632"/>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3"/>
              <c:layout>
                <c:manualLayout>
                  <c:x val="-0.113161659513591"/>
                  <c:y val="0.0414266117969821"/>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horzOverflow="overflow"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solidFill>
                      <a:prstDash val="solid"/>
                      <a:round/>
                    </a:ln>
                    <a:effectLst/>
                  </c:spPr>
                </c15:leaderLines>
              </c:ext>
            </c:extLst>
          </c:dLbls>
          <c:cat>
            <c:strRef>
              <c:f>Sheet1!$A$2:$A$5</c:f>
              <c:strCache>
                <c:ptCount val="4"/>
                <c:pt idx="0">
                  <c:v>公共场所类</c:v>
                </c:pt>
                <c:pt idx="1">
                  <c:v>医政类</c:v>
                </c:pt>
                <c:pt idx="2">
                  <c:v>职业卫生类</c:v>
                </c:pt>
                <c:pt idx="3">
                  <c:v>学校卫生类</c:v>
                </c:pt>
              </c:strCache>
            </c:strRef>
          </c:cat>
          <c:val>
            <c:numRef>
              <c:f>Sheet1!$B$2:$B$5</c:f>
              <c:numCache>
                <c:formatCode>0.00%</c:formatCode>
                <c:ptCount val="4"/>
                <c:pt idx="0">
                  <c:v>0.545454545454545</c:v>
                </c:pt>
                <c:pt idx="1">
                  <c:v>0.272727272727273</c:v>
                </c:pt>
                <c:pt idx="2">
                  <c:v>0.0909090909090909</c:v>
                </c:pt>
                <c:pt idx="3">
                  <c:v>0.0909090909090909</c:v>
                </c:pt>
              </c:numCache>
            </c:numRef>
          </c:val>
        </c:ser>
        <c:dLbls>
          <c:showLegendKey val="0"/>
          <c:showVal val="1"/>
          <c:showCatName val="1"/>
          <c:showSerName val="0"/>
          <c:showPercent val="0"/>
          <c:showBubbleSize val="0"/>
          <c:showLeaderLines val="1"/>
        </c:dLbls>
        <c:firstSliceAng val="0"/>
      </c:pieChart>
      <c:spPr>
        <a:solidFill>
          <a:schemeClr val="bg1"/>
        </a:solidFill>
        <a:ln>
          <a:noFill/>
        </a:ln>
        <a:effectLst/>
      </c:spPr>
    </c:plotArea>
    <c:plotVisOnly val="1"/>
    <c:dispBlanksAs val="zero"/>
    <c:showDLblsOverMax val="0"/>
  </c:chart>
  <c:spPr>
    <a:solidFill>
      <a:schemeClr val="bg1"/>
    </a:solidFill>
    <a:ln w="9525" cap="flat" cmpd="sng" algn="ctr">
      <a:no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szzyb</Company>
  <Pages>30</Pages>
  <Words>15401</Words>
  <Characters>16346</Characters>
  <Paragraphs>451</Paragraphs>
  <TotalTime>1</TotalTime>
  <ScaleCrop>false</ScaleCrop>
  <LinksUpToDate>false</LinksUpToDate>
  <CharactersWithSpaces>16543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2019-03-09T11:34:00Z</dcterms:created>
  <dc:creator>桂鑫</dc:creator>
  <cp:lastModifiedBy>哎呦璯     1km</cp:lastModifiedBy>
  <cp:lastPrinted>2020-03-14T10:42:00Z</cp:lastPrinted>
  <dcterms:modified xsi:type="dcterms:W3CDTF">2023-01-30T05:33:24Z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478939B9653D4506AE435D1EEA5B98DD</vt:lpwstr>
  </property>
</Properties>
</file>